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sz w:val="36"/>
        </w:rPr>
        <w:t>TERMITE BOND AGREEMENT</w:t>
      </w:r>
    </w:p>
    <w:p>
      <w:pPr>
        <w:spacing w:after="80"/>
      </w:pPr>
      <w:r>
        <w:rPr>
          <w:color w:val="555555"/>
          <w:sz w:val="22"/>
        </w:rPr>
        <w:t>Agreement date: [Agreement Date]</w:t>
      </w:r>
    </w:p>
    <w:p>
      <w:pPr>
        <w:spacing w:after="40"/>
      </w:pPr>
      <w:r>
        <w:rPr>
          <w:b/>
          <w:sz w:val="22"/>
        </w:rPr>
        <w:t>TYPE OF BOND (select one and delete the rest): RETREATMENT ONLY / REPAIR AND RETREATMENT / NO WARRANTY OR GUARANTEE OFFERED.</w:t>
      </w:r>
    </w:p>
    <w:p>
      <w:pPr>
        <w:spacing w:after="40"/>
      </w:pPr>
      <w:r>
        <w:rPr>
          <w:b/>
          <w:sz w:val="21"/>
        </w:rPr>
        <w:t>THIS BOND CARRIES DISCLAIMERS, LIMITATIONS, CONDITIONS AND EXCLUSIONS. They are set out in clause 10 and referenced in clauses 8, 9 and 11. Read them before signing.</w:t>
      </w:r>
    </w:p>
    <w:p>
      <w:pPr>
        <w:spacing w:before="40"/>
      </w:pPr>
      <w:r>
        <w:rPr>
          <w:i/>
          <w:color w:val="555555"/>
          <w:sz w:val="18"/>
        </w:rPr>
        <w:t>This template is a starting point and is not legal advice; have it reviewed for your jurisdiction before you issue it.</w:t>
      </w:r>
    </w:p>
    <w:p>
      <w:pPr>
        <w:spacing w:before="40"/>
      </w:pPr>
      <w:r>
        <w:rPr>
          <w:i/>
          <w:color w:val="555555"/>
          <w:sz w:val="17"/>
        </w:rPr>
        <w:t>Every money field in this document is blank by design. Fieldwynn asserts no termite bond price, renewal fee, escalation rate or repair limit, because no primary source publishes one. Enter your own figures.</w:t>
      </w:r>
    </w:p>
    <w:p>
      <w:pPr>
        <w:spacing w:before="200" w:after="40"/>
      </w:pPr>
      <w:r>
        <w:rPr>
          <w:b/>
          <w:color w:val="222222"/>
          <w:sz w:val="22"/>
        </w:rPr>
        <w:t>1. Parties</w:t>
      </w:r>
    </w:p>
    <w:p>
      <w:pPr>
        <w:spacing w:after="40"/>
      </w:pPr>
      <w:r>
        <w:rPr>
          <w:i w:val="0"/>
          <w:sz w:val="21"/>
        </w:rPr>
        <w:t>This Termite Bond Agreement is entered into between the pest-control business and the property owner identified below.</w:t>
      </w:r>
    </w:p>
    <w:p>
      <w:pPr>
        <w:spacing w:after="20"/>
      </w:pPr>
      <w:r>
        <w:rPr>
          <w:b/>
        </w:rPr>
        <w:t xml:space="preserve">Pest-control business (legal name): </w:t>
      </w:r>
      <w:r>
        <w:t>[Business Name]</w:t>
      </w:r>
    </w:p>
    <w:p>
      <w:pPr>
        <w:spacing w:after="20"/>
      </w:pPr>
      <w:r>
        <w:rPr>
          <w:b/>
        </w:rPr>
        <w:t xml:space="preserve">Business address: </w:t>
      </w:r>
      <w:r>
        <w:t>[Business Address]</w:t>
      </w:r>
    </w:p>
    <w:p>
      <w:pPr>
        <w:spacing w:after="20"/>
      </w:pPr>
      <w:r>
        <w:rPr>
          <w:b/>
        </w:rPr>
        <w:t xml:space="preserve">Business phone / email: </w:t>
      </w:r>
      <w:r>
        <w:t>[Phone] / [Email]</w:t>
      </w:r>
    </w:p>
    <w:p>
      <w:pPr>
        <w:spacing w:after="20"/>
      </w:pPr>
      <w:r>
        <w:rPr>
          <w:b/>
        </w:rPr>
        <w:t xml:space="preserve">Company licence / certified operator reference: </w:t>
      </w:r>
      <w:r>
        <w:t>[Company License / Certified Operator #]</w:t>
      </w:r>
    </w:p>
    <w:p>
      <w:pPr>
        <w:spacing w:after="20"/>
      </w:pPr>
      <w:r>
        <w:rPr>
          <w:b/>
        </w:rPr>
        <w:t xml:space="preserve">Property owner name: </w:t>
      </w:r>
      <w:r>
        <w:t>[Customer Name]</w:t>
      </w:r>
    </w:p>
    <w:p>
      <w:pPr>
        <w:spacing w:after="20"/>
      </w:pPr>
      <w:r>
        <w:rPr>
          <w:b/>
        </w:rPr>
        <w:t xml:space="preserve">Owner mailing address: </w:t>
      </w:r>
      <w:r>
        <w:t>[Customer Address]</w:t>
      </w:r>
    </w:p>
    <w:p>
      <w:pPr>
        <w:spacing w:after="20"/>
      </w:pPr>
      <w:r>
        <w:rPr>
          <w:b/>
        </w:rPr>
        <w:t xml:space="preserve">Owner phone / email: </w:t>
      </w:r>
      <w:r>
        <w:t>[Customer Phone] / [Customer Email]</w:t>
      </w:r>
    </w:p>
    <w:p>
      <w:pPr>
        <w:spacing w:before="200" w:after="40"/>
      </w:pPr>
      <w:r>
        <w:rPr>
          <w:b/>
          <w:color w:val="222222"/>
          <w:sz w:val="22"/>
        </w:rPr>
        <w:t>2. Covered Structures &amp; Property</w:t>
      </w:r>
    </w:p>
    <w:p>
      <w:pPr>
        <w:spacing w:after="20"/>
      </w:pPr>
      <w:r>
        <w:rPr>
          <w:b/>
        </w:rPr>
        <w:t xml:space="preserve">Property address: </w:t>
      </w:r>
      <w:r>
        <w:t>[Property Address]</w:t>
      </w:r>
    </w:p>
    <w:p>
      <w:pPr>
        <w:spacing w:after="20"/>
      </w:pPr>
      <w:r>
        <w:rPr>
          <w:b/>
        </w:rPr>
        <w:t xml:space="preserve">Structures covered by this bond: </w:t>
      </w:r>
      <w:r>
        <w:t>[Covered structures: main dwelling, attached garage, detached garage, attached porch or deck, outbuilding, fence or landscape timbers]</w:t>
      </w:r>
    </w:p>
    <w:p>
      <w:pPr>
        <w:spacing w:after="20"/>
      </w:pPr>
      <w:r>
        <w:rPr>
          <w:b/>
        </w:rPr>
        <w:t xml:space="preserve">Structures, areas or additions NOT covered: </w:t>
      </w:r>
      <w:r>
        <w:t>[Structures, areas or additions NOT covered]</w:t>
      </w:r>
    </w:p>
    <w:p>
      <w:pPr>
        <w:spacing w:after="20"/>
      </w:pPr>
      <w:r>
        <w:rPr>
          <w:b/>
        </w:rPr>
        <w:t xml:space="preserve">Linear feet treated: </w:t>
      </w:r>
      <w:r>
        <w:t>[Linear feet treated]</w:t>
      </w:r>
    </w:p>
    <w:p>
      <w:pPr>
        <w:spacing w:after="40"/>
      </w:pPr>
      <w:r>
        <w:rPr>
          <w:i w:val="0"/>
          <w:sz w:val="21"/>
        </w:rPr>
        <w:t>Only the structures listed above are covered. A structure added, extended or attached to a covered structure after the initial treatment is not covered unless it is treated and added to this bond in writing.</w:t>
      </w:r>
    </w:p>
    <w:p>
      <w:pPr>
        <w:spacing w:after="40"/>
      </w:pPr>
      <w:r>
        <w:rPr>
          <w:i w:val="0"/>
          <w:sz w:val="21"/>
        </w:rPr>
        <w:t>The property owner warrants that they own the property or have authority to permit treatment and inspection of the structures identified above.</w:t>
      </w:r>
    </w:p>
    <w:p>
      <w:pPr>
        <w:spacing w:before="200" w:after="40"/>
      </w:pPr>
      <w:r>
        <w:rPr>
          <w:b/>
          <w:color w:val="222222"/>
          <w:sz w:val="22"/>
        </w:rPr>
        <w:t>3. Type of Bond</w:t>
      </w:r>
    </w:p>
    <w:p>
      <w:pPr>
        <w:spacing w:after="40"/>
      </w:pPr>
      <w:r>
        <w:rPr>
          <w:b/>
          <w:sz w:val="21"/>
        </w:rPr>
        <w:t>RETREATMENT ONLY: the business will re-treat affected areas at no additional charge if covered organisms are found during the bond term, subject to clause 10. This bond does not obligate the business to repair, replace or pay for damage caused by wood-destroying organisms, whether that damage occurred before or after the initial treatment.</w:t>
      </w:r>
    </w:p>
    <w:p>
      <w:pPr>
        <w:spacing w:after="40"/>
      </w:pPr>
      <w:r>
        <w:rPr>
          <w:b/>
          <w:sz w:val="21"/>
        </w:rPr>
        <w:t>REPAIR AND RETREATMENT: the business will re-treat affected areas at no additional charge and will also repair new damage caused by covered organisms occurring after the date of the initial treatment, up to the repair limit stated in clause 9 and subject to clause 10.</w:t>
      </w:r>
    </w:p>
    <w:p>
      <w:pPr>
        <w:spacing w:after="40"/>
      </w:pPr>
      <w:r>
        <w:rPr>
          <w:b/>
          <w:sz w:val="21"/>
        </w:rPr>
        <w:t>NO WARRANTY OR GUARANTEE OFFERED: this agreement covers the treatment described in clause 5 only. The business does not undertake to re-treat, to repair or replace any part of the property, or to pay for any damage caused by wood-destroying organisms.</w:t>
      </w:r>
    </w:p>
    <w:p>
      <w:pPr>
        <w:spacing w:before="40"/>
      </w:pPr>
      <w:r>
        <w:rPr>
          <w:i/>
          <w:color w:val="555555"/>
          <w:sz w:val="17"/>
        </w:rPr>
        <w:t>Keep exactly one of the three paragraphs above and delete the other two. Repeat the one you keep in the first-page banner.</w:t>
      </w:r>
    </w:p>
    <w:p>
      <w:pPr>
        <w:spacing w:before="200" w:after="40"/>
      </w:pPr>
      <w:r>
        <w:rPr>
          <w:b/>
          <w:color w:val="222222"/>
          <w:sz w:val="22"/>
        </w:rPr>
        <w:t>4. Covered Organisms</w:t>
      </w:r>
    </w:p>
    <w:p>
      <w:pPr>
        <w:spacing w:after="20"/>
      </w:pPr>
      <w:r>
        <w:rPr>
          <w:b/>
        </w:rPr>
        <w:t xml:space="preserve">Organisms covered by this bond: </w:t>
      </w:r>
      <w:r>
        <w:t>[Covered organisms: subterranean termites, drywood termites, dampwood termites, powderpost beetles, old house borers, wood-decay fungi]</w:t>
      </w:r>
    </w:p>
    <w:p>
      <w:pPr>
        <w:spacing w:after="20"/>
      </w:pPr>
      <w:r>
        <w:rPr>
          <w:b/>
        </w:rPr>
        <w:t xml:space="preserve">Organisms expressly excluded: </w:t>
      </w:r>
      <w:r>
        <w:t>[Excluded organisms: Formosan termites (Coptotermes formosanus), other invasive termite species, carpenter ants, carpenter bees]</w:t>
      </w:r>
    </w:p>
    <w:p>
      <w:pPr>
        <w:spacing w:after="40"/>
      </w:pPr>
      <w:r>
        <w:rPr>
          <w:i w:val="0"/>
          <w:sz w:val="21"/>
        </w:rPr>
        <w:t>State plainly whether this bond covers subterranean termites, drywood termites, or both. Name any invasive species excluded from coverage rather than leaving the point open. An organism that is not named as covered above is not covered by this bond.</w:t>
      </w:r>
    </w:p>
    <w:p>
      <w:pPr>
        <w:spacing w:before="200" w:after="40"/>
      </w:pPr>
      <w:r>
        <w:rPr>
          <w:b/>
          <w:color w:val="222222"/>
          <w:sz w:val="22"/>
        </w:rPr>
        <w:t>5. Initial Treatment</w:t>
      </w:r>
    </w:p>
    <w:p>
      <w:pPr>
        <w:spacing w:after="20"/>
      </w:pPr>
      <w:r>
        <w:rPr>
          <w:b/>
        </w:rPr>
        <w:t xml:space="preserve">Initial treatment date: </w:t>
      </w:r>
      <w:r>
        <w:t>[Initial Treatment Date]</w:t>
      </w:r>
    </w:p>
    <w:p>
      <w:pPr>
        <w:spacing w:after="20"/>
      </w:pPr>
      <w:r>
        <w:rPr>
          <w:b/>
        </w:rPr>
        <w:t xml:space="preserve">Treatment method: </w:t>
      </w:r>
      <w:r>
        <w:t>[Liquid soil termiticide / in-ground bait system / borate wood treatment / foam or localized injection / structural fumigation / combination]</w:t>
      </w:r>
    </w:p>
    <w:p>
      <w:pPr>
        <w:spacing w:after="20"/>
      </w:pPr>
      <w:r>
        <w:rPr>
          <w:b/>
        </w:rPr>
        <w:t xml:space="preserve">Product used: </w:t>
      </w:r>
      <w:r>
        <w:t>[Product / termiticide or bait system used]</w:t>
      </w:r>
    </w:p>
    <w:p>
      <w:pPr>
        <w:spacing w:after="20"/>
      </w:pPr>
      <w:r>
        <w:rPr>
          <w:b/>
        </w:rPr>
        <w:t xml:space="preserve">Treatment areas and conditions at time of treatment: </w:t>
      </w:r>
      <w:r>
        <w:t>[Treatment areas, station count, exclusions at time of treatment]</w:t>
      </w:r>
    </w:p>
    <w:p>
      <w:pPr>
        <w:spacing w:after="40"/>
      </w:pPr>
      <w:r>
        <w:rPr>
          <w:i w:val="0"/>
          <w:sz w:val="21"/>
        </w:rPr>
        <w:t>Any pesticide applied is an EPA-registered product applied per its label directions. Areas that were inaccessible at the time of the initial treatment are listed above and are excluded under clause 10.</w:t>
      </w:r>
    </w:p>
    <w:p>
      <w:pPr>
        <w:spacing w:before="40"/>
      </w:pPr>
      <w:r>
        <w:rPr>
          <w:i/>
          <w:color w:val="555555"/>
          <w:sz w:val="17"/>
        </w:rPr>
        <w:t>The treatment clause records the product and method agreed to. It is not a regulatory record, an application record, or an EPA-compliance record.</w:t>
      </w:r>
    </w:p>
    <w:p>
      <w:pPr>
        <w:spacing w:before="200" w:after="40"/>
      </w:pPr>
      <w:r>
        <w:rPr>
          <w:b/>
          <w:color w:val="222222"/>
          <w:sz w:val="22"/>
        </w:rPr>
        <w:t>6. Inspection Obligations</w:t>
      </w:r>
    </w:p>
    <w:p>
      <w:pPr>
        <w:spacing w:after="20"/>
      </w:pPr>
      <w:r>
        <w:rPr>
          <w:b/>
        </w:rPr>
        <w:t xml:space="preserve">Inspection cadence: </w:t>
      </w:r>
      <w:r>
        <w:t>[Annual / semi-annual / quarterly / on request only]</w:t>
      </w:r>
    </w:p>
    <w:p>
      <w:pPr>
        <w:spacing w:after="20"/>
      </w:pPr>
      <w:r>
        <w:rPr>
          <w:b/>
        </w:rPr>
        <w:t xml:space="preserve">Next inspection due: </w:t>
      </w:r>
      <w:r>
        <w:t>[Next inspection due]</w:t>
      </w:r>
    </w:p>
    <w:p>
      <w:pPr>
        <w:spacing w:after="20"/>
      </w:pPr>
      <w:r>
        <w:rPr>
          <w:b/>
        </w:rPr>
        <w:t xml:space="preserve">What the inspection covers: </w:t>
      </w:r>
      <w:r>
        <w:t>[What the annual inspection covers]</w:t>
      </w:r>
    </w:p>
    <w:p>
      <w:pPr>
        <w:spacing w:after="40"/>
      </w:pPr>
      <w:r>
        <w:rPr>
          <w:i w:val="0"/>
          <w:sz w:val="21"/>
        </w:rPr>
        <w:t>The business will inspect the covered structures at the cadence stated above for the life of the bond and will give the property owner a written report of each inspection, stating whether covered organisms were found and whether retreatment was performed. A missed inspection caused by the owner denying access does not extend the bond term.</w:t>
      </w:r>
    </w:p>
    <w:p>
      <w:pPr>
        <w:spacing w:before="200" w:after="40"/>
      </w:pPr>
      <w:r>
        <w:rPr>
          <w:b/>
          <w:color w:val="222222"/>
          <w:sz w:val="22"/>
        </w:rPr>
        <w:t>7. Term, Renewal &amp; Renewal Fee</w:t>
      </w:r>
    </w:p>
    <w:p>
      <w:pPr>
        <w:spacing w:after="20"/>
      </w:pPr>
      <w:r>
        <w:rPr>
          <w:b/>
        </w:rPr>
        <w:t xml:space="preserve">Bond start date (initial treatment): </w:t>
      </w:r>
      <w:r>
        <w:t>[Initial Treatment Date]</w:t>
      </w:r>
    </w:p>
    <w:p>
      <w:pPr>
        <w:spacing w:after="20"/>
      </w:pPr>
      <w:r>
        <w:rPr>
          <w:b/>
        </w:rPr>
        <w:t xml:space="preserve">First renewal date: </w:t>
      </w:r>
      <w:r>
        <w:t>[First Renewal Date]</w:t>
      </w:r>
    </w:p>
    <w:p>
      <w:pPr>
        <w:spacing w:after="20"/>
      </w:pPr>
      <w:r>
        <w:rPr>
          <w:b/>
        </w:rPr>
        <w:t xml:space="preserve">Renewal years offered: </w:t>
      </w:r>
      <w:r>
        <w:t>[Renewal years offered]</w:t>
      </w:r>
    </w:p>
    <w:p>
      <w:pPr>
        <w:spacing w:after="20"/>
      </w:pPr>
      <w:r>
        <w:rPr>
          <w:b/>
        </w:rPr>
        <w:t xml:space="preserve">Initial treatment price: </w:t>
      </w:r>
      <w:r>
        <w:t>[Initial treatment price]</w:t>
      </w:r>
    </w:p>
    <w:p>
      <w:pPr>
        <w:spacing w:after="20"/>
      </w:pPr>
      <w:r>
        <w:rPr>
          <w:b/>
        </w:rPr>
        <w:t xml:space="preserve">Annual renewal fee: </w:t>
      </w:r>
      <w:r>
        <w:t>[Annual renewal fee]</w:t>
      </w:r>
    </w:p>
    <w:p>
      <w:pPr>
        <w:spacing w:after="20"/>
      </w:pPr>
      <w:r>
        <w:rPr>
          <w:b/>
        </w:rPr>
        <w:t xml:space="preserve">Renewal escalation cap: </w:t>
      </w:r>
      <w:r>
        <w:t>[Renewal escalation cap: __% per renewal]</w:t>
      </w:r>
    </w:p>
    <w:p>
      <w:pPr>
        <w:spacing w:after="40"/>
      </w:pPr>
      <w:r>
        <w:rPr>
          <w:i w:val="0"/>
          <w:sz w:val="21"/>
        </w:rPr>
        <w:t>The bond runs from the initial treatment date and renews on each anniversary of that date for the renewal years offered above. The annual renewal fee is stated in this agreement; where an escalation cap is stated, the renewal fee may not increase by more than that percentage at any one renewal.</w:t>
      </w:r>
    </w:p>
    <w:p>
      <w:pPr>
        <w:spacing w:after="40"/>
      </w:pPr>
      <w:r>
        <w:rPr>
          <w:i w:val="0"/>
          <w:sz w:val="21"/>
        </w:rPr>
        <w:t>This bond does not automatically renew. Coverage continues only if the renewal is invoiced, paid and accepted for each renewal year; if a renewal lapses, the retreatment and repair obligations end on the lapse date.</w:t>
      </w:r>
    </w:p>
    <w:p>
      <w:pPr>
        <w:spacing w:before="40"/>
      </w:pPr>
      <w:r>
        <w:rPr>
          <w:i/>
          <w:color w:val="555555"/>
          <w:sz w:val="17"/>
        </w:rPr>
        <w:t>Every money field in this document is blank by design. Fieldwynn asserts no termite bond price, renewal fee, escalation rate or repair limit, because no primary source publishes one. Enter your own figures.</w:t>
      </w:r>
    </w:p>
    <w:p>
      <w:pPr>
        <w:spacing w:before="200" w:after="40"/>
      </w:pPr>
      <w:r>
        <w:rPr>
          <w:b/>
          <w:color w:val="222222"/>
          <w:sz w:val="22"/>
        </w:rPr>
        <w:t>8. Retreatment Obligation</w:t>
      </w:r>
    </w:p>
    <w:p>
      <w:pPr>
        <w:spacing w:after="40"/>
      </w:pPr>
      <w:r>
        <w:rPr>
          <w:i w:val="0"/>
          <w:sz w:val="21"/>
        </w:rPr>
        <w:t>On receiving written notice of covered activity during the bond term, the business will inspect the covered structures and, where covered activity is confirmed, re-treat the affected areas at no additional charge using a method appropriate to the finding. Retreatment is performed to the pesticide label and may differ in method from the initial treatment.</w:t>
      </w:r>
    </w:p>
    <w:p>
      <w:pPr>
        <w:spacing w:after="40"/>
      </w:pPr>
      <w:r>
        <w:rPr>
          <w:b/>
          <w:sz w:val="21"/>
        </w:rPr>
        <w:t>This obligation is subject to the disclaimers, limitations, conditions and exclusions in clause 10.</w:t>
      </w:r>
    </w:p>
    <w:p>
      <w:pPr>
        <w:spacing w:before="40"/>
      </w:pPr>
      <w:r>
        <w:rPr>
          <w:i/>
          <w:color w:val="555555"/>
          <w:sz w:val="17"/>
        </w:rPr>
        <w:t>On a NO WARRANTY agreement, replace this clause with: no retreatment obligation arises under this agreement, and any return visit is a new job, quoted and invoiced separately.</w:t>
      </w:r>
    </w:p>
    <w:p>
      <w:pPr>
        <w:spacing w:before="200" w:after="40"/>
      </w:pPr>
      <w:r>
        <w:rPr>
          <w:b/>
          <w:color w:val="222222"/>
          <w:sz w:val="22"/>
        </w:rPr>
        <w:t>9. Repair Obligation</w:t>
      </w:r>
    </w:p>
    <w:p>
      <w:pPr>
        <w:spacing w:after="40"/>
      </w:pPr>
      <w:r>
        <w:rPr>
          <w:b/>
          <w:sz w:val="21"/>
        </w:rPr>
        <w:t>ON A RETREATMENT-ONLY BOND, THIS BOND CARRIES NO REPAIR OBLIGATION. The business will not repair, replace or pay for damage caused by wood-destroying organisms. Repair of any such damage remains the responsibility of the property owner.</w:t>
      </w:r>
    </w:p>
    <w:p>
      <w:pPr>
        <w:spacing w:after="40"/>
      </w:pPr>
      <w:r>
        <w:rPr>
          <w:i w:val="0"/>
          <w:sz w:val="21"/>
        </w:rPr>
        <w:t>On a repair-and-retreatment bond: the business will repair new damage to covered structures caused by covered organisms after the date of the initial treatment, up to the repair limit stated below. Repair means restoring the damaged member to its condition before the covered damage. It does not include cosmetic upgrades, code-required work beyond the damaged member, consequential losses, or damage excluded under clause 10.</w:t>
      </w:r>
    </w:p>
    <w:p>
      <w:pPr>
        <w:spacing w:after="20"/>
      </w:pPr>
      <w:r>
        <w:rPr>
          <w:b/>
        </w:rPr>
        <w:t xml:space="preserve">Repair limit (repair-and-retreatment bonds only): </w:t>
      </w:r>
      <w:r>
        <w:t>[Repair limit]</w:t>
      </w:r>
    </w:p>
    <w:p>
      <w:pPr>
        <w:spacing w:before="200" w:after="40"/>
      </w:pPr>
      <w:r>
        <w:rPr>
          <w:b/>
          <w:color w:val="222222"/>
          <w:sz w:val="22"/>
        </w:rPr>
        <w:t>10. Exclusions, Limitations &amp; Conditions</w:t>
      </w:r>
    </w:p>
    <w:p>
      <w:pPr>
        <w:spacing w:after="40"/>
      </w:pPr>
      <w:r>
        <w:rPr>
          <w:b/>
          <w:sz w:val="21"/>
        </w:rPr>
        <w:t>DISCLAIMERS, LIMITATIONS, CONDITIONS AND EXCLUSIONS. The following are excluded from the retreatment and, where offered, the repair obligation:</w:t>
      </w:r>
    </w:p>
    <w:p>
      <w:pPr>
        <w:pStyle w:val="ListBullet"/>
        <w:spacing w:after="20"/>
      </w:pPr>
      <w:r>
        <w:rPr>
          <w:sz w:val="21"/>
        </w:rPr>
        <w:t>Damage existing before the initial treatment.</w:t>
      </w:r>
    </w:p>
    <w:p>
      <w:pPr>
        <w:pStyle w:val="ListBullet"/>
        <w:spacing w:after="20"/>
      </w:pPr>
      <w:r>
        <w:rPr>
          <w:sz w:val="21"/>
        </w:rPr>
        <w:t>Wood-to-ground contact left uncorrected.</w:t>
      </w:r>
    </w:p>
    <w:p>
      <w:pPr>
        <w:pStyle w:val="ListBullet"/>
        <w:spacing w:after="20"/>
      </w:pPr>
      <w:r>
        <w:rPr>
          <w:sz w:val="21"/>
        </w:rPr>
        <w:t>Standing water, plumbing or roof leaks, and poor drainage.</w:t>
      </w:r>
    </w:p>
    <w:p>
      <w:pPr>
        <w:pStyle w:val="ListBullet"/>
        <w:spacing w:after="20"/>
      </w:pPr>
      <w:r>
        <w:rPr>
          <w:sz w:val="21"/>
        </w:rPr>
        <w:t>Areas that were inaccessible at the time of treatment.</w:t>
      </w:r>
    </w:p>
    <w:p>
      <w:pPr>
        <w:pStyle w:val="ListBullet"/>
        <w:spacing w:after="20"/>
      </w:pPr>
      <w:r>
        <w:rPr>
          <w:sz w:val="21"/>
        </w:rPr>
        <w:t>Structural alterations or additions made after the treatment.</w:t>
      </w:r>
    </w:p>
    <w:p>
      <w:pPr>
        <w:pStyle w:val="ListBullet"/>
        <w:spacing w:after="20"/>
      </w:pPr>
      <w:r>
        <w:rPr>
          <w:sz w:val="21"/>
        </w:rPr>
        <w:t>Soil disturbance that breaches the treated zone.</w:t>
      </w:r>
    </w:p>
    <w:p>
      <w:pPr>
        <w:pStyle w:val="ListBullet"/>
        <w:spacing w:after="20"/>
      </w:pPr>
      <w:r>
        <w:rPr>
          <w:sz w:val="21"/>
        </w:rPr>
        <w:t>Damage hidden behind finished surfaces.</w:t>
      </w:r>
    </w:p>
    <w:p>
      <w:pPr>
        <w:spacing w:after="20"/>
      </w:pPr>
      <w:r>
        <w:rPr>
          <w:b/>
        </w:rPr>
        <w:t xml:space="preserve">Additional exclusions, limitations and conditions: </w:t>
      </w:r>
      <w:r>
        <w:t>[Additional exclusions, limitations and conditions]</w:t>
      </w:r>
    </w:p>
    <w:p>
      <w:pPr>
        <w:spacing w:after="40"/>
      </w:pPr>
      <w:r>
        <w:rPr>
          <w:i w:val="0"/>
          <w:sz w:val="21"/>
        </w:rPr>
        <w:t>Delete any line above that this bond does not exclude. Do not leave an exclusion in the document that you do not intend to rely on.</w:t>
      </w:r>
    </w:p>
    <w:p>
      <w:pPr>
        <w:spacing w:before="200" w:after="40"/>
      </w:pPr>
      <w:r>
        <w:rPr>
          <w:b/>
          <w:color w:val="222222"/>
          <w:sz w:val="22"/>
        </w:rPr>
        <w:t>11. Claim Procedure</w:t>
      </w:r>
    </w:p>
    <w:p>
      <w:pPr>
        <w:spacing w:after="20"/>
      </w:pPr>
      <w:r>
        <w:rPr>
          <w:b/>
        </w:rPr>
        <w:t xml:space="preserve">Claims contact: </w:t>
      </w:r>
      <w:r>
        <w:t>[Claims contact: name, phone, email, postal address]</w:t>
      </w:r>
    </w:p>
    <w:p>
      <w:pPr>
        <w:spacing w:after="20"/>
      </w:pPr>
      <w:r>
        <w:rPr>
          <w:b/>
        </w:rPr>
        <w:t xml:space="preserve">Inspection response: </w:t>
      </w:r>
      <w:r>
        <w:t>[Inspection response: __ days]</w:t>
      </w:r>
    </w:p>
    <w:p>
      <w:pPr>
        <w:spacing w:after="20"/>
      </w:pPr>
      <w:r>
        <w:rPr>
          <w:b/>
        </w:rPr>
        <w:t xml:space="preserve">Retreatment window: </w:t>
      </w:r>
      <w:r>
        <w:t>[Retreatment window: __ days]</w:t>
      </w:r>
    </w:p>
    <w:p>
      <w:pPr>
        <w:pStyle w:val="ListNumber"/>
        <w:spacing w:after="20"/>
      </w:pPr>
      <w:r>
        <w:rPr>
          <w:sz w:val="21"/>
        </w:rPr>
        <w:t>The property owner gives the business written notice of suspected covered activity, at the claims contact stated above, while the bond is in force.</w:t>
      </w:r>
    </w:p>
    <w:p>
      <w:pPr>
        <w:pStyle w:val="ListNumber"/>
        <w:spacing w:after="20"/>
      </w:pPr>
      <w:r>
        <w:rPr>
          <w:sz w:val="21"/>
        </w:rPr>
        <w:t>The business inspects the covered structures within the inspection response period stated above.</w:t>
      </w:r>
    </w:p>
    <w:p>
      <w:pPr>
        <w:pStyle w:val="ListNumber"/>
        <w:spacing w:after="20"/>
      </w:pPr>
      <w:r>
        <w:rPr>
          <w:sz w:val="21"/>
        </w:rPr>
        <w:t>Where covered activity is confirmed, the business re-treats the affected areas within the retreatment window stated above, and, on a repair-and-retreatment bond, scopes any covered repair in writing before work begins.</w:t>
      </w:r>
    </w:p>
    <w:p>
      <w:pPr>
        <w:pStyle w:val="ListNumber"/>
        <w:spacing w:after="20"/>
      </w:pPr>
      <w:r>
        <w:rPr>
          <w:sz w:val="21"/>
        </w:rPr>
        <w:t>The business gives the property owner a written report of each inspection, stating whether covered organisms were present and whether retreatment was performed.</w:t>
      </w:r>
    </w:p>
    <w:p>
      <w:pPr>
        <w:pStyle w:val="ListNumber"/>
        <w:spacing w:after="20"/>
      </w:pPr>
      <w:r>
        <w:rPr>
          <w:sz w:val="21"/>
        </w:rPr>
        <w:t>Where the business declines a claim, it states the exclusion, limitation or condition it relies on, in writing, with the clause number in this agreement.</w:t>
      </w:r>
    </w:p>
    <w:p>
      <w:pPr>
        <w:spacing w:before="40"/>
      </w:pPr>
      <w:r>
        <w:rPr>
          <w:i/>
          <w:color w:val="555555"/>
          <w:sz w:val="17"/>
        </w:rPr>
        <w:t>Set the response days from your own state rules and your own capacity. No day count is supplied here.</w:t>
      </w:r>
    </w:p>
    <w:p>
      <w:pPr>
        <w:spacing w:before="200" w:after="40"/>
      </w:pPr>
      <w:r>
        <w:rPr>
          <w:b/>
          <w:color w:val="222222"/>
          <w:sz w:val="22"/>
        </w:rPr>
        <w:t>12. Customer Responsibilities</w:t>
      </w:r>
    </w:p>
    <w:p>
      <w:pPr>
        <w:pStyle w:val="ListBullet"/>
        <w:spacing w:after="20"/>
      </w:pPr>
      <w:r>
        <w:rPr>
          <w:sz w:val="21"/>
        </w:rPr>
        <w:t>Correct conducive conditions identified in writing by the business, including wood-to-ground contact, plumbing or roof leaks, standing water and poor drainage.</w:t>
      </w:r>
    </w:p>
    <w:p>
      <w:pPr>
        <w:pStyle w:val="ListBullet"/>
        <w:spacing w:after="20"/>
      </w:pPr>
      <w:r>
        <w:rPr>
          <w:sz w:val="21"/>
        </w:rPr>
        <w:t>Give the business access to the covered structures for each scheduled inspection and for any retreatment.</w:t>
      </w:r>
    </w:p>
    <w:p>
      <w:pPr>
        <w:pStyle w:val="ListBullet"/>
        <w:spacing w:after="20"/>
      </w:pPr>
      <w:r>
        <w:rPr>
          <w:sz w:val="21"/>
        </w:rPr>
        <w:t>Tell the business in writing before altering, adding to, or re-landscaping the covered structures, and before any work that disturbs treated soil.</w:t>
      </w:r>
    </w:p>
    <w:p>
      <w:pPr>
        <w:pStyle w:val="ListBullet"/>
        <w:spacing w:after="20"/>
      </w:pPr>
      <w:r>
        <w:rPr>
          <w:sz w:val="21"/>
        </w:rPr>
        <w:t>Report suspected activity in writing promptly rather than waiting for the next scheduled inspection.</w:t>
      </w:r>
    </w:p>
    <w:p>
      <w:pPr>
        <w:pStyle w:val="ListBullet"/>
        <w:spacing w:after="20"/>
      </w:pPr>
      <w:r>
        <w:rPr>
          <w:sz w:val="21"/>
        </w:rPr>
        <w:t>Keep the renewal current; coverage ends when a renewal lapses.</w:t>
      </w:r>
    </w:p>
    <w:p>
      <w:pPr>
        <w:spacing w:before="200" w:after="40"/>
      </w:pPr>
      <w:r>
        <w:rPr>
          <w:b/>
          <w:color w:val="222222"/>
          <w:sz w:val="22"/>
        </w:rPr>
        <w:t>13. Transfer on Sale</w:t>
      </w:r>
    </w:p>
    <w:p>
      <w:pPr>
        <w:spacing w:after="20"/>
      </w:pPr>
      <w:r>
        <w:rPr>
          <w:b/>
        </w:rPr>
        <w:t xml:space="preserve">Transferable on sale: </w:t>
      </w:r>
      <w:r>
        <w:t>[Yes / No]</w:t>
      </w:r>
    </w:p>
    <w:p>
      <w:pPr>
        <w:spacing w:after="20"/>
      </w:pPr>
      <w:r>
        <w:rPr>
          <w:b/>
        </w:rPr>
        <w:t xml:space="preserve">Transfer notice period: </w:t>
      </w:r>
      <w:r>
        <w:t>[Transfer notice: __ days]</w:t>
      </w:r>
    </w:p>
    <w:p>
      <w:pPr>
        <w:spacing w:after="20"/>
      </w:pPr>
      <w:r>
        <w:rPr>
          <w:b/>
        </w:rPr>
        <w:t xml:space="preserve">Transfer fee: </w:t>
      </w:r>
      <w:r>
        <w:t>[Transfer fee]</w:t>
      </w:r>
    </w:p>
    <w:p>
      <w:pPr>
        <w:spacing w:after="40"/>
      </w:pPr>
      <w:r>
        <w:rPr>
          <w:i w:val="0"/>
          <w:sz w:val="21"/>
        </w:rPr>
        <w:t>If transferable: this bond transfers to a subsequent owner of the property for the remainder of the then-current bond year, on written notice to the business within the transfer notice period stated above and payment of the transfer fee, if any. The business will inspect the covered structures before the transfer takes effect. The transferee takes the bond subject to every exclusion, limitation and condition in this agreement, and the bond type does not change on transfer.</w:t>
      </w:r>
    </w:p>
    <w:p>
      <w:pPr>
        <w:spacing w:after="40"/>
      </w:pPr>
      <w:r>
        <w:rPr>
          <w:i w:val="0"/>
          <w:sz w:val="21"/>
        </w:rPr>
        <w:t>If not transferable: this bond ends on sale or other transfer of the property, and the new owner must contract separately with the business for any continuing coverage.</w:t>
      </w:r>
    </w:p>
    <w:p>
      <w:pPr>
        <w:spacing w:before="40"/>
      </w:pPr>
      <w:r>
        <w:rPr>
          <w:i/>
          <w:color w:val="555555"/>
          <w:sz w:val="17"/>
        </w:rPr>
        <w:t>A wood-destroying organism report issued for a property sale is a separate document with its own obligations. It is not this bond.</w:t>
      </w:r>
    </w:p>
    <w:p>
      <w:pPr>
        <w:spacing w:before="200" w:after="40"/>
      </w:pPr>
      <w:r>
        <w:rPr>
          <w:b/>
          <w:color w:val="222222"/>
          <w:sz w:val="22"/>
        </w:rPr>
        <w:t>14. Cancellation &amp; Termination</w:t>
      </w:r>
    </w:p>
    <w:p>
      <w:pPr>
        <w:spacing w:after="20"/>
      </w:pPr>
      <w:r>
        <w:rPr>
          <w:b/>
        </w:rPr>
        <w:t xml:space="preserve">Cancellation notice: </w:t>
      </w:r>
      <w:r>
        <w:t>[Cancellation notice: __ days]</w:t>
      </w:r>
    </w:p>
    <w:p>
      <w:pPr>
        <w:spacing w:after="40"/>
      </w:pPr>
      <w:r>
        <w:rPr>
          <w:i w:val="0"/>
          <w:sz w:val="21"/>
        </w:rPr>
        <w:t>Either party may cancel this bond by giving written notice of the period stated above, and the business may decline to offer a renewal at the end of any bond year. Coverage ends on the cancellation date or on the date an unpaid renewal lapses, whichever is earlier. Cancellation does not entitle the property owner to a refund of the initial treatment price.</w:t>
      </w:r>
    </w:p>
    <w:p>
      <w:pPr>
        <w:spacing w:before="200" w:after="40"/>
      </w:pPr>
      <w:r>
        <w:rPr>
          <w:b/>
          <w:color w:val="222222"/>
          <w:sz w:val="22"/>
        </w:rPr>
        <w:t>15. Licensing &amp; Insurance</w:t>
      </w:r>
    </w:p>
    <w:p>
      <w:pPr>
        <w:spacing w:after="40"/>
      </w:pPr>
      <w:r>
        <w:rPr>
          <w:i w:val="0"/>
          <w:sz w:val="21"/>
        </w:rPr>
        <w:t>The business holds the licences and operator certifications its state requires for wood-destroying organism work and carries general-liability and property-damage coverage as required for its operations.</w:t>
      </w:r>
    </w:p>
    <w:p>
      <w:pPr>
        <w:spacing w:after="20"/>
      </w:pPr>
      <w:r>
        <w:rPr>
          <w:b/>
        </w:rPr>
        <w:t xml:space="preserve">Company licence / certified operator reference: </w:t>
      </w:r>
      <w:r>
        <w:t>[Company License / Certified Operator #]</w:t>
      </w:r>
    </w:p>
    <w:p>
      <w:pPr>
        <w:spacing w:after="20"/>
      </w:pPr>
      <w:r>
        <w:rPr>
          <w:b/>
        </w:rPr>
        <w:t xml:space="preserve">Liability insurance coverage amount: </w:t>
      </w:r>
      <w:r>
        <w:t>[Liability insurance coverage amount]</w:t>
      </w:r>
    </w:p>
    <w:p>
      <w:pPr>
        <w:spacing w:after="40"/>
      </w:pPr>
      <w:r>
        <w:rPr>
          <w:b/>
          <w:sz w:val="21"/>
        </w:rPr>
        <w:t>A NOTE ON THE WORD "BONDED". In the trade a termite bond means a renewable warranty agreement between the business and the customer. It is not a surety or performance bond, and selling one does not make the business "bonded" in the advertising sense. Georgia restricts the term outright: Rule 620-4-.01(3) provides that while pest control licensees are not required to maintain performance bonds, any licensee who advertises or otherwise represents itself as being bonded must maintain a master or blanket bond equal to five percent of the previous year gross sales or gross liability assumed, whichever is higher, up to a maximum of $100,000, or provide a separate bond for each job, advise each customer in writing as part of every proposal or contract whether it is covered by that bond, submit proof to the Commission, and not advertise as bonded otherwise. Check your own state before the word goes on a truck, a website or this agreement.</w:t>
      </w:r>
    </w:p>
    <w:p>
      <w:pPr>
        <w:spacing w:before="40"/>
      </w:pPr>
      <w:r>
        <w:rPr>
          <w:i/>
          <w:color w:val="555555"/>
          <w:sz w:val="17"/>
        </w:rPr>
        <w:t>Source: Rules of the Georgia Structural Pest Control Commission (effective 4/8/2026), published by the Georgia Department of Agriculture (read 2026-09-12)</w:t>
      </w:r>
    </w:p>
    <w:p>
      <w:pPr>
        <w:spacing w:before="200" w:after="40"/>
      </w:pPr>
      <w:r>
        <w:rPr>
          <w:b/>
          <w:color w:val="222222"/>
          <w:sz w:val="22"/>
        </w:rPr>
        <w:t>16. Liability Limitations</w:t>
      </w:r>
    </w:p>
    <w:p>
      <w:pPr>
        <w:spacing w:after="40"/>
      </w:pPr>
      <w:r>
        <w:rPr>
          <w:i w:val="0"/>
          <w:sz w:val="21"/>
        </w:rPr>
        <w:t>To the extent permitted by law, the business is not liable for indirect, incidental or consequential damages arising from the services or from the presence of wood-destroying organisms.</w:t>
      </w:r>
    </w:p>
    <w:p>
      <w:pPr>
        <w:spacing w:before="200" w:after="40"/>
      </w:pPr>
      <w:r>
        <w:rPr>
          <w:b/>
          <w:color w:val="222222"/>
          <w:sz w:val="22"/>
        </w:rPr>
        <w:t>17. Governing Law &amp; State Disclosures</w:t>
      </w:r>
    </w:p>
    <w:p>
      <w:pPr>
        <w:spacing w:after="20"/>
      </w:pPr>
      <w:r>
        <w:rPr>
          <w:b/>
        </w:rPr>
        <w:t xml:space="preserve">Governing-law state / jurisdiction: </w:t>
      </w:r>
      <w:r>
        <w:t>[Governing-Law State]</w:t>
      </w:r>
    </w:p>
    <w:p>
      <w:pPr>
        <w:spacing w:after="40"/>
      </w:pPr>
      <w:r>
        <w:rPr>
          <w:i w:val="0"/>
          <w:sz w:val="21"/>
        </w:rPr>
        <w:t>This agreement is governed by the laws of the state or jurisdiction stated above.</w:t>
      </w:r>
    </w:p>
    <w:p>
      <w:pPr>
        <w:spacing w:after="40"/>
      </w:pPr>
      <w:r>
        <w:rPr>
          <w:b/>
          <w:sz w:val="21"/>
        </w:rPr>
        <w:t>STATE DISCLOSURE BLOCK</w:t>
      </w:r>
    </w:p>
    <w:p>
      <w:pPr>
        <w:spacing w:after="20"/>
      </w:pPr>
      <w:r>
        <w:rPr>
          <w:b/>
        </w:rPr>
        <w:t xml:space="preserve">Your state required disclosure wording: </w:t>
      </w:r>
      <w:r>
        <w:t>[Paste your state required disclosure wording here]</w:t>
      </w:r>
    </w:p>
    <w:p>
      <w:pPr>
        <w:spacing w:after="40"/>
      </w:pPr>
      <w:r>
        <w:rPr>
          <w:i w:val="0"/>
          <w:sz w:val="21"/>
        </w:rPr>
        <w:t>State-specific disclosure requirements are not asserted for any state other than the two set out below. No requirement is stated for your state because none was verified from a primary source, and inventing one would be worse than leaving it blank. Read your state pest-control regulator rules for required termite-contract language before you issue this bond.</w:t>
      </w:r>
    </w:p>
    <w:p>
      <w:pPr>
        <w:spacing w:after="40"/>
      </w:pPr>
      <w:r>
        <w:rPr>
          <w:b/>
          <w:sz w:val="21"/>
        </w:rPr>
        <w:t>FLORIDA (delete if not applicable)</w:t>
      </w:r>
    </w:p>
    <w:p>
      <w:pPr>
        <w:pStyle w:val="ListBullet"/>
        <w:spacing w:after="20"/>
      </w:pPr>
      <w:r>
        <w:rPr>
          <w:sz w:val="21"/>
        </w:rPr>
        <w:t>Section 482.051(3), F.S., directs the department to adopt rules requiring "that written contracts be required for providing termites and other wood-destroying organisms pest control, that provisions necessary to assure consumer protection as specified by the department be included in such contracts, and that require licensees to comply with the contracts issued."</w:t>
      </w:r>
    </w:p>
    <w:p>
      <w:pPr>
        <w:pStyle w:val="ListBullet"/>
        <w:spacing w:after="20"/>
      </w:pPr>
      <w:r>
        <w:rPr>
          <w:sz w:val="21"/>
        </w:rPr>
        <w:t>Rule 5E-14.105(1), F.A.C., states that "Each licensee must enter into a written contract with the property owner or his authorized agent for each treatment for control or prevention of wood-destroying organisms," and requires specific written consent signed using the Consumer Notice Form, FDACS-13692. Rule 5E-14.105(2) requires the contract or an exact copy to be given to the owner for acceptance or rejection before any portion of the work is done and before payment is received.</w:t>
      </w:r>
    </w:p>
    <w:p>
      <w:pPr>
        <w:pStyle w:val="ListBullet"/>
        <w:spacing w:after="20"/>
      </w:pPr>
      <w:r>
        <w:rPr>
          <w:sz w:val="21"/>
        </w:rPr>
        <w:t>Section 482.227(2), F.S., states that "Any contract for treatment of wood-destroying organisms must specify on the first page in bold print that it is offered for repair and retreatment or for retreatment only or that no warranty or guarantee is offered."</w:t>
      </w:r>
    </w:p>
    <w:p>
      <w:pPr>
        <w:pStyle w:val="ListBullet"/>
        <w:spacing w:after="20"/>
      </w:pPr>
      <w:r>
        <w:rPr>
          <w:sz w:val="21"/>
        </w:rPr>
        <w:t>Section 482.227(3), F.S., states that the contract "must specify on the first page in bold print whether there are any disclaimers, limitations, conditions, or exclusions on the licensee's obligation to repair or re-treat the property," and that sections describing them "must contain headings in bold print."</w:t>
      </w:r>
    </w:p>
    <w:p>
      <w:pPr>
        <w:pStyle w:val="ListBullet"/>
        <w:spacing w:after="20"/>
      </w:pPr>
      <w:r>
        <w:rPr>
          <w:sz w:val="21"/>
        </w:rPr>
        <w:t>Section 482.227(4), F.S., states that where such a disclaimer, limitation, condition or exclusion exists, "the term 'full' or 'unlimited' may not be used together with the term 'guarantee' or 'warranty.'"</w:t>
      </w:r>
    </w:p>
    <w:p>
      <w:pPr>
        <w:pStyle w:val="ListBullet"/>
        <w:spacing w:after="20"/>
      </w:pPr>
      <w:r>
        <w:rPr>
          <w:sz w:val="21"/>
        </w:rPr>
        <w:t>Rule 5E-14.105(2), F.A.C., lists what the contract must set out, including the buildings included, the period covered and the renewal option if any, the common names of the organisms covered (a termite contract "must clearly state on the first page if the contract covers subterranean termites, dry wood termites, or both," and Formosan or other invasive species excluded from coverage "must be named as excluded"), whether reinspections are made and at what intervals, "the conditions under which retreatments (for reinfestation) will be made; and conditions under which repairs will be made, if any," and the total maximum treatment price, exact annual renewal fees and total maximum structural-repair price shown separately.</w:t>
      </w:r>
    </w:p>
    <w:p>
      <w:pPr>
        <w:pStyle w:val="ListBullet"/>
        <w:spacing w:after="20"/>
      </w:pPr>
      <w:r>
        <w:rPr>
          <w:sz w:val="21"/>
        </w:rPr>
        <w:t>Rule 5E-14.105(2)(j), F.A.C., states that "If the performance of the work is guaranteed by any type or form of bond, the obligations of the bond shall be set forth specifically: i.e., necessary retreatments, repairs, etc., in wording identical to that in the bond itself."</w:t>
      </w:r>
    </w:p>
    <w:p>
      <w:pPr>
        <w:pStyle w:val="ListBullet"/>
        <w:spacing w:after="20"/>
      </w:pPr>
      <w:r>
        <w:rPr>
          <w:sz w:val="21"/>
        </w:rPr>
        <w:t>Rule 5E-14.105(8)(a), F.A.C., requires a licensee to inspect an infestation subject to a retreatment provision "within thirty calendar days of written notification by the property owner," and to perform the retreatment "within ninety days of discovery," or within 180 days for a commercial or multiunit structure, unless access is prevented or the owner waives or postpones in writing. Rule 5E-14.105(8)(b) requires a written offer to perform a retreatment within ninety days at no additional cost where the contract expires first.</w:t>
      </w:r>
    </w:p>
    <w:p>
      <w:pPr>
        <w:pStyle w:val="ListBullet"/>
        <w:spacing w:after="20"/>
      </w:pPr>
      <w:r>
        <w:rPr>
          <w:sz w:val="21"/>
        </w:rPr>
        <w:t>Rule 5E-14.105(8)(c), F.A.C., states that a licensee "may not use a limitation, exclusion, or condition clause of a contract to deny treatment of a termite infestation or repair of termite damage" unless the infestation or damage was primarily caused by the subject of that clause and, where the licensee knew of the condition, gave written notice within sixty days of discovery and an opportunity to correct it.</w:t>
      </w:r>
    </w:p>
    <w:p>
      <w:pPr>
        <w:pStyle w:val="ListBullet"/>
        <w:spacing w:after="20"/>
      </w:pPr>
      <w:r>
        <w:rPr>
          <w:sz w:val="21"/>
        </w:rPr>
        <w:t>Rule 5E-14.105(6), F.A.C., requires a signed reinspection report to the owner after each periodic reinspection, retained for not less than three years. Rule 5E-14.105(9) requires written, consumer-initialled notice where the work may be subcontracted.</w:t>
      </w:r>
    </w:p>
    <w:p>
      <w:pPr>
        <w:spacing w:before="40"/>
      </w:pPr>
      <w:r>
        <w:rPr>
          <w:i/>
          <w:color w:val="555555"/>
          <w:sz w:val="17"/>
        </w:rPr>
        <w:t>Florida sources: Section 482.051, Florida Statutes (Rules), The Florida Senate, https://www.flsenate.gov/Laws/Statutes/2024/482.051 (read 2026-09-12); Section 482.227, Florida Statutes (Guarantees and warranties), The Florida Senate, https://www.flsenate.gov/Laws/Statutes/2024/482.227 (read 2026-09-12); Chapter 5E-14, Florida Administrative Code (Entomology, Pest Control Regulations), compilation effective July 2018, published at flrules.org (read 2026-09-12). The Florida Administrative Code compilation read is the July 2018 edition; confirm the current rule text with FDACS before issuing.</w:t>
      </w:r>
    </w:p>
    <w:p>
      <w:pPr>
        <w:spacing w:after="40"/>
      </w:pPr>
      <w:r>
        <w:rPr>
          <w:b/>
          <w:sz w:val="21"/>
        </w:rPr>
        <w:t>GEORGIA (delete if not applicable)</w:t>
      </w:r>
    </w:p>
    <w:p>
      <w:pPr>
        <w:pStyle w:val="ListBullet"/>
        <w:spacing w:after="20"/>
      </w:pPr>
      <w:r>
        <w:rPr>
          <w:sz w:val="21"/>
        </w:rPr>
        <w:t>Rule 620-4-.01(3) restricts the word "bonded" in advertising. See clause 15 above for the full requirement.</w:t>
      </w:r>
    </w:p>
    <w:p>
      <w:pPr>
        <w:pStyle w:val="ListBullet"/>
        <w:spacing w:after="20"/>
      </w:pPr>
      <w:r>
        <w:rPr>
          <w:sz w:val="21"/>
        </w:rPr>
        <w:t>Rule 620-6-.03(1) states that the Official Georgia Wood Infestation Inspection Report "shall be issued only by a pest control operator certified in Wood Destroying Organisms" and "shall carry a guarantee that, if an infestation of wood destroying organisms from which apparent freedom is certified, is found within ninety (90) days from date of issuance, the infested structure(s) shall be treated by the licensee, free of charge," subject to the conditions in that rule. That guarantee is a separate obligation from this bond and does not replace it.</w:t>
      </w:r>
    </w:p>
    <w:p>
      <w:pPr>
        <w:spacing w:before="40"/>
      </w:pPr>
      <w:r>
        <w:rPr>
          <w:i/>
          <w:color w:val="555555"/>
          <w:sz w:val="17"/>
        </w:rPr>
        <w:t>Georgia source: Rules of the Georgia Structural Pest Control Commission (effective 4/8/2026), published by the Georgia Department of Agriculture (read 2026-09-12)</w:t>
      </w:r>
    </w:p>
    <w:p>
      <w:r>
        <w:br w:type="page"/>
      </w:r>
    </w:p>
    <w:p>
      <w:pPr>
        <w:spacing w:before="200" w:after="40"/>
      </w:pPr>
      <w:r>
        <w:rPr>
          <w:b/>
          <w:color w:val="222222"/>
          <w:sz w:val="22"/>
        </w:rPr>
        <w:t>18. Signatures &amp; Date</w:t>
      </w:r>
    </w:p>
    <w:p>
      <w:pPr>
        <w:spacing w:after="40"/>
      </w:pPr>
      <w:r>
        <w:rPr>
          <w:i w:val="0"/>
          <w:sz w:val="21"/>
        </w:rPr>
        <w:t>By signing below, both parties agree to the terms of this Termite Bond Agreement, including the type of bond stated on the first page and the exclusions, limitations and conditions in clause 10.</w:t>
      </w:r>
    </w:p>
    <w:p>
      <w:pPr>
        <w:spacing w:before="40"/>
      </w:pPr>
      <w:r>
        <w:rPr>
          <w:i/>
          <w:color w:val="555555"/>
          <w:sz w:val="18"/>
        </w:rPr>
        <w:t>This template is a starting point and is not legal advice; have it reviewed for your jurisdiction before you issue it.</w:t>
      </w:r>
    </w:p>
    <w:tbl>
      <w:tblPr>
        <w:tblW w:type="auto" w:w="0"/>
        <w:tblLook w:firstColumn="1" w:firstRow="1" w:lastColumn="0" w:lastRow="0" w:noHBand="0" w:noVBand="1" w:val="04A0"/>
      </w:tblPr>
      <w:tblGrid>
        <w:gridCol w:w="5040"/>
        <w:gridCol w:w="5040"/>
      </w:tblGrid>
      <w:tr>
        <w:tc>
          <w:tcPr>
            <w:tcW w:type="dxa" w:w="5040"/>
          </w:tcPr>
          <w:p>
            <w:r>
              <w:t>________________________________</w:t>
              <w:br/>
            </w:r>
            <w:r>
              <w:rPr>
                <w:color w:val="555555"/>
                <w:sz w:val="17"/>
              </w:rPr>
              <w:t>Pest-control business signature</w:t>
            </w:r>
          </w:p>
          <w:p>
            <w:r>
              <w:rPr>
                <w:color w:val="555555"/>
                <w:sz w:val="17"/>
              </w:rPr>
              <w:t>Printed name: ____________________</w:t>
            </w:r>
          </w:p>
          <w:p>
            <w:r>
              <w:rPr>
                <w:color w:val="555555"/>
                <w:sz w:val="17"/>
              </w:rPr>
              <w:t>Date: ____________________</w:t>
            </w:r>
          </w:p>
        </w:tc>
        <w:tc>
          <w:tcPr>
            <w:tcW w:type="dxa" w:w="5040"/>
          </w:tcPr>
          <w:p>
            <w:r>
              <w:t>________________________________</w:t>
              <w:br/>
            </w:r>
            <w:r>
              <w:rPr>
                <w:color w:val="555555"/>
                <w:sz w:val="17"/>
              </w:rPr>
              <w:t>Property owner signature</w:t>
            </w:r>
          </w:p>
          <w:p>
            <w:r>
              <w:rPr>
                <w:color w:val="555555"/>
                <w:sz w:val="17"/>
              </w:rPr>
              <w:t>Printed name: ____________________</w:t>
            </w:r>
          </w:p>
          <w:p>
            <w:r>
              <w:rPr>
                <w:color w:val="555555"/>
                <w:sz w:val="17"/>
              </w:rPr>
              <w:t>Date: ____________________</w:t>
            </w:r>
          </w:p>
        </w:tc>
      </w:tr>
      <w:tr>
        <w:tc>
          <w:tcPr>
            <w:tcW w:type="dxa" w:w="5040"/>
          </w:tcPr>
          <w:p>
            <w:r/>
          </w:p>
        </w:tc>
        <w:tc>
          <w:tcPr>
            <w:tcW w:type="dxa" w:w="5040"/>
          </w:tcPr>
          <w:p>
            <w:r/>
          </w:p>
        </w:tc>
      </w:tr>
    </w:tbl>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555555"/>
        <w:sz w:val="15"/>
      </w:rPr>
      <w:t>Starting point, not legal advice. Confirm your own state required contract wording before issuing. No fee, renewal price or repair limit is asserted by this 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