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sz w:val="44"/>
        </w:rPr>
        <w:t>SERVICE CONTRACT</w:t>
      </w:r>
    </w:p>
    <w:p>
      <w:pPr>
        <w:spacing w:before="40"/>
      </w:pPr>
      <w:r>
        <w:rPr>
          <w:i w:val="0"/>
          <w:color w:val="555555"/>
          <w:sz w:val="18"/>
        </w:rPr>
        <w:t>Trade variant:  [ ] Generic   [ ] HVAC   [ ] Plumbing   [ ] Electrical        Engagement:  [ ] One-off job   [ ] Recurring service</w:t>
      </w:r>
    </w:p>
    <w:p>
      <w:pPr>
        <w:spacing w:before="40"/>
      </w:pPr>
      <w:r>
        <w:rPr>
          <w:i/>
          <w:color w:val="555555"/>
          <w:sz w:val="17"/>
        </w:rPr>
        <w:t>Fill the bracketed [fields]. Keep the trade clause that applies in Section 7 and delete the others; choose one-off OR recurring scheduling in Section 3.</w:t>
      </w:r>
    </w:p>
    <w:p>
      <w:pPr>
        <w:spacing w:before="220" w:after="60"/>
      </w:pPr>
      <w:r>
        <w:rPr>
          <w:b/>
          <w:color w:val="333333"/>
          <w:sz w:val="21"/>
        </w:rPr>
        <w:t>1. PARTIES</w:t>
      </w:r>
    </w:p>
    <w:p>
      <w:pPr>
        <w:spacing w:before="40"/>
      </w:pPr>
      <w:r>
        <w:rPr>
          <w:i w:val="0"/>
          <w:color w:val="555555"/>
          <w:sz w:val="18"/>
        </w:rPr>
        <w:t>Provider</w:t>
      </w:r>
    </w:p>
    <w:p>
      <w:pPr>
        <w:spacing w:after="40"/>
      </w:pPr>
      <w:r>
        <w:rPr>
          <w:b/>
        </w:rPr>
        <w:t xml:space="preserve">Business name: </w:t>
      </w:r>
      <w:r>
        <w:t>[Company Name]</w:t>
      </w:r>
    </w:p>
    <w:p>
      <w:pPr>
        <w:spacing w:after="40"/>
      </w:pPr>
      <w:r>
        <w:rPr>
          <w:b/>
        </w:rPr>
        <w:t xml:space="preserve">License #: </w:t>
      </w:r>
      <w:r>
        <w:t>[License #]</w:t>
      </w:r>
    </w:p>
    <w:p>
      <w:pPr>
        <w:spacing w:after="40"/>
      </w:pPr>
      <w:r>
        <w:rPr>
          <w:b/>
        </w:rPr>
        <w:t xml:space="preserve">Address: </w:t>
      </w:r>
      <w:r>
        <w:t>[Provider Address]</w:t>
      </w:r>
    </w:p>
    <w:p>
      <w:pPr>
        <w:spacing w:after="40"/>
      </w:pPr>
      <w:r>
        <w:rPr>
          <w:b/>
        </w:rPr>
        <w:t xml:space="preserve">Phone / Email: </w:t>
      </w:r>
      <w:r>
        <w:t>[Provider Phone] / [Provider Email]</w:t>
      </w:r>
    </w:p>
    <w:p>
      <w:pPr>
        <w:spacing w:before="40"/>
      </w:pPr>
      <w:r>
        <w:rPr>
          <w:i w:val="0"/>
          <w:color w:val="555555"/>
          <w:sz w:val="18"/>
        </w:rPr>
        <w:t>Client</w:t>
      </w:r>
    </w:p>
    <w:p>
      <w:pPr>
        <w:spacing w:after="40"/>
      </w:pPr>
      <w:r>
        <w:rPr>
          <w:b/>
        </w:rPr>
        <w:t xml:space="preserve">Name: </w:t>
      </w:r>
      <w:r>
        <w:t>[Client Name]</w:t>
      </w:r>
    </w:p>
    <w:p>
      <w:pPr>
        <w:spacing w:after="40"/>
      </w:pPr>
      <w:r>
        <w:rPr>
          <w:b/>
        </w:rPr>
        <w:t xml:space="preserve">Service address: </w:t>
      </w:r>
      <w:r>
        <w:t>[Service Address]</w:t>
      </w:r>
    </w:p>
    <w:p>
      <w:pPr>
        <w:spacing w:after="40"/>
      </w:pPr>
      <w:r>
        <w:rPr>
          <w:b/>
        </w:rPr>
        <w:t xml:space="preserve">Billing address: </w:t>
      </w:r>
      <w:r>
        <w:t>[Billing Address] (same as service address unless stated)</w:t>
      </w:r>
    </w:p>
    <w:p>
      <w:pPr>
        <w:spacing w:after="40"/>
      </w:pPr>
      <w:r>
        <w:rPr>
          <w:b/>
        </w:rPr>
        <w:t xml:space="preserve">Phone / Email: </w:t>
      </w:r>
      <w:r>
        <w:t>[Client Phone] / [Client Email]</w:t>
      </w:r>
    </w:p>
    <w:p>
      <w:pPr>
        <w:spacing w:after="40"/>
      </w:pPr>
      <w:r>
        <w:rPr>
          <w:b/>
        </w:rPr>
        <w:t xml:space="preserve">Effective date: </w:t>
      </w:r>
      <w:r>
        <w:t>[Effective Date]</w:t>
      </w:r>
    </w:p>
    <w:p>
      <w:pPr>
        <w:spacing w:before="220" w:after="60"/>
      </w:pPr>
      <w:r>
        <w:rPr>
          <w:b/>
          <w:color w:val="333333"/>
          <w:sz w:val="21"/>
        </w:rPr>
        <w:t>2. SCOPE OF WORK</w:t>
      </w:r>
    </w:p>
    <w:p>
      <w:pPr>
        <w:spacing w:after="40"/>
      </w:pPr>
      <w:r>
        <w:rPr>
          <w:b/>
        </w:rPr>
        <w:t xml:space="preserve">Services &amp; materials: </w:t>
      </w:r>
      <w:r>
        <w:t>[Scope of Work]</w:t>
      </w:r>
    </w:p>
    <w:p>
      <w:pPr>
        <w:spacing w:before="40"/>
      </w:pPr>
      <w:r>
        <w:rPr>
          <w:i w:val="0"/>
          <w:color w:val="555555"/>
          <w:sz w:val="17"/>
        </w:rPr>
        <w:t>Itemize the services and materials. Trade-detail line (keep the one for your trade): HVAC [equipment make / model / tonnage] · Plumbing [fixtures / lines affected] · Electrical [panel / circuit / load].</w:t>
      </w:r>
    </w:p>
    <w:p>
      <w:pPr>
        <w:spacing w:before="220" w:after="60"/>
      </w:pPr>
      <w:r>
        <w:rPr>
          <w:b/>
          <w:color w:val="333333"/>
          <w:sz w:val="21"/>
        </w:rPr>
        <w:t>3. SCHEDULE / PROJECT TIMELINE</w:t>
      </w:r>
    </w:p>
    <w:p>
      <w:pPr>
        <w:spacing w:before="40"/>
      </w:pPr>
      <w:r>
        <w:rPr>
          <w:i w:val="0"/>
          <w:color w:val="555555"/>
          <w:sz w:val="18"/>
        </w:rPr>
        <w:t>One-off job — keep these two lines:</w:t>
      </w:r>
    </w:p>
    <w:p>
      <w:pPr>
        <w:spacing w:after="40"/>
      </w:pPr>
      <w:r>
        <w:rPr>
          <w:b/>
        </w:rPr>
        <w:t xml:space="preserve">Estimated start date: </w:t>
      </w:r>
      <w:r>
        <w:t>[Start Date]</w:t>
      </w:r>
    </w:p>
    <w:p>
      <w:pPr>
        <w:spacing w:after="40"/>
      </w:pPr>
      <w:r>
        <w:rPr>
          <w:b/>
        </w:rPr>
        <w:t xml:space="preserve">Estimated completion date: </w:t>
      </w:r>
      <w:r>
        <w:t>[Completion Date]</w:t>
      </w:r>
    </w:p>
    <w:p>
      <w:pPr>
        <w:spacing w:before="40"/>
      </w:pPr>
      <w:r>
        <w:rPr>
          <w:i w:val="0"/>
          <w:color w:val="555555"/>
          <w:sz w:val="18"/>
        </w:rPr>
        <w:t>Recurring service — keep this line instead:</w:t>
      </w:r>
    </w:p>
    <w:p>
      <w:pPr>
        <w:spacing w:after="40"/>
      </w:pPr>
      <w:r>
        <w:rPr>
          <w:b/>
        </w:rPr>
        <w:t xml:space="preserve">Visit frequency: </w:t>
      </w:r>
      <w:r>
        <w:t>[Visit Frequency: weekly / bi-weekly / monthly / quarterly / semi-annual / annual]</w:t>
      </w:r>
    </w:p>
    <w:p>
      <w:pPr>
        <w:spacing w:after="60"/>
      </w:pPr>
      <w:r>
        <w:rPr>
          <w:i w:val="0"/>
          <w:sz w:val="19"/>
        </w:rPr>
        <w:t>Term: a one-off engagement terminates on completion and acceptance of the work. A recurring agreement renews for successive like terms unless either party gives written notice of non-renewal before the next term begins.</w:t>
      </w:r>
    </w:p>
    <w:p>
      <w:pPr>
        <w:spacing w:before="220" w:after="60"/>
      </w:pPr>
      <w:r>
        <w:rPr>
          <w:b/>
          <w:color w:val="333333"/>
          <w:sz w:val="21"/>
        </w:rPr>
        <w:t>4. PRICE &amp; PAYMENT TERMS</w:t>
      </w:r>
    </w:p>
    <w:p>
      <w:pPr>
        <w:spacing w:after="40"/>
      </w:pPr>
      <w:r>
        <w:rPr>
          <w:b/>
        </w:rPr>
        <w:t xml:space="preserve">Total contract price: </w:t>
      </w:r>
      <w:r>
        <w:t>[Total Price]</w:t>
      </w:r>
    </w:p>
    <w:p>
      <w:pPr>
        <w:spacing w:after="40"/>
      </w:pPr>
      <w:r>
        <w:rPr>
          <w:b/>
        </w:rPr>
        <w:t xml:space="preserve">Deposit / progress terms: </w:t>
      </w:r>
      <w:r>
        <w:t>[Deposit / Progress Terms]</w:t>
      </w:r>
    </w:p>
    <w:p>
      <w:pPr>
        <w:spacing w:after="40"/>
      </w:pPr>
      <w:r>
        <w:rPr>
          <w:b/>
        </w:rPr>
        <w:t xml:space="preserve">Accepted payment methods: </w:t>
      </w:r>
      <w:r>
        <w:t>[Accepted Payment Methods]</w:t>
      </w:r>
    </w:p>
    <w:p>
      <w:pPr>
        <w:spacing w:after="40"/>
      </w:pPr>
      <w:r>
        <w:rPr>
          <w:b/>
        </w:rPr>
        <w:t xml:space="preserve">Payment due: </w:t>
      </w:r>
      <w:r>
        <w:t>[ ] Due on receipt   [ ] Net 15   [ ] Net 30</w:t>
      </w:r>
    </w:p>
    <w:p>
      <w:pPr>
        <w:spacing w:after="40"/>
      </w:pPr>
      <w:r>
        <w:rPr>
          <w:b/>
        </w:rPr>
        <w:t xml:space="preserve">Late-fee reference: </w:t>
      </w:r>
      <w:r>
        <w:t>[e.g. 1.5%/mo after 30 days]</w:t>
      </w:r>
    </w:p>
    <w:p>
      <w:pPr>
        <w:spacing w:before="40"/>
      </w:pPr>
      <w:r>
        <w:rPr>
          <w:i w:val="0"/>
          <w:color w:val="555555"/>
          <w:sz w:val="17"/>
        </w:rPr>
        <w:t>The price, deposit, and late-fee lines are descriptive contract text — not a computed total or a billing engine.</w:t>
      </w:r>
    </w:p>
    <w:p>
      <w:pPr>
        <w:spacing w:before="220" w:after="60"/>
      </w:pPr>
      <w:r>
        <w:rPr>
          <w:b/>
          <w:color w:val="333333"/>
          <w:sz w:val="21"/>
        </w:rPr>
        <w:t>5. CHANGE ORDER PROCESS</w:t>
      </w:r>
    </w:p>
    <w:p>
      <w:pPr>
        <w:spacing w:after="60"/>
      </w:pPr>
      <w:r>
        <w:rPr>
          <w:i w:val="0"/>
          <w:sz w:val="19"/>
        </w:rPr>
        <w:t>Work outside the Scope of Work above (a “change”) will be proposed and priced in writing, and must be approved in writing by the Client before it proceeds. No verbal change is authorized.</w:t>
      </w:r>
    </w:p>
    <w:p>
      <w:pPr>
        <w:spacing w:before="220" w:after="60"/>
      </w:pPr>
      <w:r>
        <w:rPr>
          <w:b/>
          <w:color w:val="333333"/>
          <w:sz w:val="21"/>
        </w:rPr>
        <w:t>6. WARRANTY / WORKMANSHIP GUARANTEE</w:t>
      </w:r>
    </w:p>
    <w:p>
      <w:pPr>
        <w:spacing w:after="40"/>
      </w:pPr>
      <w:r>
        <w:rPr>
          <w:b/>
        </w:rPr>
        <w:t xml:space="preserve">Labor warranty period: </w:t>
      </w:r>
      <w:r>
        <w:t>[Warranty Period]</w:t>
      </w:r>
    </w:p>
    <w:p>
      <w:pPr>
        <w:spacing w:after="60"/>
      </w:pPr>
      <w:r>
        <w:rPr>
          <w:i w:val="0"/>
          <w:sz w:val="19"/>
        </w:rPr>
        <w:t>The Provider warrants workmanship for the warranty period stated above. Manufacturer warranties on parts and equipment pass through to the Client and are not extended by the Provider.</w:t>
      </w:r>
    </w:p>
    <w:p>
      <w:pPr>
        <w:spacing w:before="220" w:after="60"/>
      </w:pPr>
      <w:r>
        <w:rPr>
          <w:b/>
          <w:color w:val="333333"/>
          <w:sz w:val="21"/>
        </w:rPr>
        <w:t>7. LIABILITY, INSURANCE &amp; INDEMNIFICATION</w:t>
      </w:r>
    </w:p>
    <w:p>
      <w:pPr>
        <w:spacing w:after="60"/>
      </w:pPr>
      <w:r>
        <w:rPr>
          <w:i w:val="0"/>
          <w:sz w:val="19"/>
        </w:rPr>
        <w:t>The Provider’s liability is limited to the contract price for the work performed. The Provider represents it carries general liability insurance and, where required, workers’ compensation. The Client agrees to indemnify the Provider against claims arising from the Client’s acts or omissions. All work is performed to applicable building codes; required permits are the Provider’s responsibility unless stated otherwise.</w:t>
      </w:r>
    </w:p>
    <w:p>
      <w:pPr>
        <w:spacing w:before="40"/>
      </w:pPr>
      <w:r>
        <w:rPr>
          <w:i w:val="0"/>
          <w:color w:val="555555"/>
          <w:sz w:val="18"/>
        </w:rPr>
        <w:t>Trade clause — keep the one for your trade, delete the rest:</w:t>
      </w:r>
    </w:p>
    <w:p>
      <w:pPr>
        <w:spacing w:before="60"/>
      </w:pPr>
      <w:r>
        <w:rPr>
          <w:b/>
        </w:rPr>
        <w:t>[ ] HVAC</w:t>
      </w:r>
    </w:p>
    <w:p>
      <w:r>
        <w:rPr>
          <w:i/>
          <w:color w:val="555555"/>
          <w:sz w:val="18"/>
        </w:rPr>
        <w:t>Scope prompt — e.g. Replace 3-ton condenser; recover/recharge R-410A; test static pressure.</w:t>
      </w:r>
    </w:p>
    <w:p>
      <w:pPr>
        <w:spacing w:after="80"/>
      </w:pPr>
      <w:r>
        <w:rPr>
          <w:sz w:val="19"/>
        </w:rPr>
        <w:t>Refrigerant handling: refrigerant is recovered, recycled, and charged by EPA Section 608 certified personnel, in accordance with applicable EPA regulations. The Provider is not responsible for pre-existing system inefficiencies or undersized equipment outside the scope of this work.</w:t>
      </w:r>
    </w:p>
    <w:p>
      <w:pPr>
        <w:spacing w:before="60"/>
      </w:pPr>
      <w:r>
        <w:rPr>
          <w:b/>
        </w:rPr>
        <w:t>[ ] Plumbing</w:t>
      </w:r>
    </w:p>
    <w:p>
      <w:r>
        <w:rPr>
          <w:i/>
          <w:color w:val="555555"/>
          <w:sz w:val="18"/>
        </w:rPr>
        <w:t>Scope prompt — e.g. Re-pipe kitchen supply lines; replace shutoff valves; pressure-test.</w:t>
      </w:r>
    </w:p>
    <w:p>
      <w:pPr>
        <w:spacing w:after="80"/>
      </w:pPr>
      <w:r>
        <w:rPr>
          <w:sz w:val="19"/>
        </w:rPr>
        <w:t>Water damage &amp; access: the Client is responsible for clearing access to fixtures, lines, and shutoffs. The Provider is not liable for incidental water damage from concealed, corroded, or previously non-compliant piping, or for restoring finishes opened to reach the work area, except as expressly stated in the Scope of Work.</w:t>
      </w:r>
    </w:p>
    <w:p>
      <w:pPr>
        <w:spacing w:before="60"/>
      </w:pPr>
      <w:r>
        <w:rPr>
          <w:b/>
        </w:rPr>
        <w:t>[ ] Electrical</w:t>
      </w:r>
    </w:p>
    <w:p>
      <w:r>
        <w:rPr>
          <w:i/>
          <w:color w:val="555555"/>
          <w:sz w:val="18"/>
        </w:rPr>
        <w:t>Scope prompt — e.g. Replace 200A panel; install 2 dedicated circuits; pull permit.</w:t>
      </w:r>
    </w:p>
    <w:p>
      <w:pPr>
        <w:spacing w:after="80"/>
      </w:pPr>
      <w:r>
        <w:rPr>
          <w:sz w:val="19"/>
        </w:rPr>
        <w:t>Permits &amp; inspection: required electrical permits are pulled and work is performed to the applicable National Electrical Code (NEC) and the authority having jurisdiction; final approval is subject to inspection. The Provider is not responsible for correcting pre-existing code violations outside the scope of this work.</w:t>
      </w:r>
    </w:p>
    <w:p>
      <w:pPr>
        <w:spacing w:before="40"/>
      </w:pPr>
      <w:r>
        <w:rPr>
          <w:i w:val="0"/>
          <w:color w:val="555555"/>
          <w:sz w:val="18"/>
        </w:rPr>
        <w:t>Generic — no added trade clause; the liability text above stands alone.</w:t>
      </w:r>
    </w:p>
    <w:p>
      <w:pPr>
        <w:spacing w:before="220" w:after="60"/>
      </w:pPr>
      <w:r>
        <w:rPr>
          <w:b/>
          <w:color w:val="333333"/>
          <w:sz w:val="21"/>
        </w:rPr>
        <w:t>8. CANCELLATION &amp; TERMINATION</w:t>
      </w:r>
    </w:p>
    <w:p>
      <w:pPr>
        <w:spacing w:after="40"/>
      </w:pPr>
      <w:r>
        <w:rPr>
          <w:b/>
        </w:rPr>
        <w:t xml:space="preserve">Notice period: </w:t>
      </w:r>
      <w:r>
        <w:t>[Notice Period]</w:t>
      </w:r>
    </w:p>
    <w:p>
      <w:pPr>
        <w:spacing w:after="40"/>
      </w:pPr>
      <w:r>
        <w:rPr>
          <w:b/>
        </w:rPr>
        <w:t xml:space="preserve">Cancellation fee: </w:t>
      </w:r>
      <w:r>
        <w:t>[Cancellation Fee]</w:t>
      </w:r>
    </w:p>
    <w:p>
      <w:pPr>
        <w:spacing w:after="60"/>
      </w:pPr>
      <w:r>
        <w:rPr>
          <w:i w:val="0"/>
          <w:sz w:val="19"/>
        </w:rPr>
        <w:t>Either party may cancel on written notice. A cancellation fee may apply for work already scheduled or materials already ordered, as stated above. Where a statutory right to cancel applies, the Client retains that right.</w:t>
      </w:r>
    </w:p>
    <w:p>
      <w:pPr>
        <w:spacing w:before="220" w:after="60"/>
      </w:pPr>
      <w:r>
        <w:rPr>
          <w:b/>
          <w:color w:val="333333"/>
          <w:sz w:val="21"/>
        </w:rPr>
        <w:t>9. GENERAL / BOILERPLATE</w:t>
      </w:r>
    </w:p>
    <w:p>
      <w:pPr>
        <w:spacing w:after="40"/>
      </w:pPr>
      <w:r>
        <w:rPr>
          <w:b/>
        </w:rPr>
        <w:t xml:space="preserve">Governing-law state: </w:t>
      </w:r>
      <w:r>
        <w:t>[Governing-Law State]</w:t>
      </w:r>
    </w:p>
    <w:p>
      <w:pPr>
        <w:spacing w:after="40"/>
      </w:pPr>
      <w:r>
        <w:rPr>
          <w:b/>
        </w:rPr>
        <w:t xml:space="preserve">Dispute resolution: </w:t>
      </w:r>
      <w:r>
        <w:t>[ ] Mediation   [ ] Arbitration   [ ] Courts</w:t>
      </w:r>
    </w:p>
    <w:p>
      <w:pPr>
        <w:spacing w:after="60"/>
      </w:pPr>
      <w:r>
        <w:rPr>
          <w:i w:val="0"/>
          <w:sz w:val="19"/>
        </w:rPr>
        <w:t>This agreement is governed by the law of the governing-law state stated above. If any provision is unenforceable, the remainder stays in effect (severability). Neither party is liable for delays caused by events beyond its reasonable control (force majeure). This document is the entire agreement between the parties and supersedes prior discussions.</w:t>
      </w:r>
    </w:p>
    <w:p>
      <w:pPr>
        <w:sectPr>
          <w:footerReference w:type="default" r:id="rId9"/>
          <w:pgSz w:w="12240" w:h="15840"/>
          <w:pgMar w:top="1080" w:right="1200" w:bottom="1200" w:left="1200" w:header="720" w:footer="720" w:gutter="0"/>
          <w:cols w:space="720"/>
          <w:docGrid w:linePitch="360"/>
        </w:sectPr>
      </w:pPr>
    </w:p>
    <w:p>
      <w:pPr>
        <w:spacing w:before="220" w:after="60"/>
      </w:pPr>
      <w:r>
        <w:rPr>
          <w:b/>
          <w:color w:val="333333"/>
          <w:sz w:val="21"/>
        </w:rPr>
        <w:t>10. SIGNATURES</w:t>
      </w:r>
    </w:p>
    <w:p>
      <w:pPr>
        <w:spacing w:before="40"/>
      </w:pPr>
      <w:r>
        <w:rPr>
          <w:i w:val="0"/>
          <w:color w:val="555555"/>
          <w:sz w:val="18"/>
        </w:rPr>
        <w:t>By signing below, the parties agree to the terms of this Service Contract.</w:t>
      </w:r>
    </w:p>
    <w:tbl>
      <w:tblPr>
        <w:tblW w:type="auto" w:w="0"/>
        <w:jc w:val="left"/>
        <w:tblLook w:firstColumn="1" w:firstRow="1" w:lastColumn="0" w:lastRow="0" w:noHBand="0" w:noVBand="1" w:val="04A0"/>
      </w:tblPr>
      <w:tblGrid>
        <w:gridCol w:w="4920"/>
        <w:gridCol w:w="4920"/>
      </w:tblGrid>
      <w:tr>
        <w:tc>
          <w:tcPr>
            <w:tcW w:type="dxa" w:w="4920"/>
          </w:tcPr>
          <w:p>
            <w:pPr>
              <w:spacing w:before="360"/>
            </w:pPr>
            <w:r>
              <w:t>________________________________</w:t>
              <w:br/>
            </w:r>
            <w:r>
              <w:rPr>
                <w:color w:val="555555"/>
                <w:sz w:val="18"/>
              </w:rPr>
              <w:t>Provider signature</w:t>
            </w:r>
          </w:p>
          <w:p>
            <w:r>
              <w:rPr>
                <w:color w:val="555555"/>
                <w:sz w:val="18"/>
              </w:rPr>
              <w:t>Printed name: [Provider Signer]</w:t>
            </w:r>
          </w:p>
          <w:p>
            <w:r>
              <w:rPr>
                <w:color w:val="555555"/>
                <w:sz w:val="18"/>
              </w:rPr>
              <w:t>Date: ____________________</w:t>
            </w:r>
          </w:p>
        </w:tc>
        <w:tc>
          <w:tcPr>
            <w:tcW w:type="dxa" w:w="4920"/>
          </w:tcPr>
          <w:p>
            <w:pPr>
              <w:spacing w:before="360"/>
            </w:pPr>
            <w:r>
              <w:t>________________________________</w:t>
              <w:br/>
            </w:r>
            <w:r>
              <w:rPr>
                <w:color w:val="555555"/>
                <w:sz w:val="18"/>
              </w:rPr>
              <w:t>Client signature</w:t>
            </w:r>
          </w:p>
          <w:p>
            <w:r>
              <w:rPr>
                <w:color w:val="555555"/>
                <w:sz w:val="18"/>
              </w:rPr>
              <w:t>Printed name: [Client Signer]</w:t>
            </w:r>
          </w:p>
          <w:p>
            <w:r>
              <w:rPr>
                <w:color w:val="555555"/>
                <w:sz w:val="18"/>
              </w:rPr>
              <w:t>Date: ____________________</w:t>
            </w:r>
          </w:p>
        </w:tc>
      </w:tr>
      <w:tr>
        <w:tc>
          <w:tcPr>
            <w:tcW w:type="dxa" w:w="4920"/>
          </w:tcPr>
          <w:p>
            <w:r/>
          </w:p>
        </w:tc>
        <w:tc>
          <w:tcPr>
            <w:tcW w:type="dxa" w:w="4920"/>
          </w:tcPr>
          <w:p>
            <w:r/>
          </w:p>
        </w:tc>
      </w:tr>
    </w:tbl>
    <w:sectPr w:rsidR="00FC693F" w:rsidRPr="0006063C" w:rsidSect="00034616">
      <w:footerReference w:type="default" r:id="rId10"/>
      <w:pgSz w:w="12240" w:h="15840"/>
      <w:pgMar w:top="1080" w:right="1200" w:bottom="1200" w:left="12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color w:val="555555"/>
        <w:sz w:val="16"/>
      </w:rPr>
      <w:t>This template is a starting point and is not legal advice; have it reviewed for your jurisdiction.</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color w:val="555555"/>
        <w:sz w:val="16"/>
      </w:rPr>
      <w:t>This template is a starting point and is not legal advice; have it reviewed for your jurisdiction.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