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sz w:val="36"/>
        </w:rPr>
        <w:t>PEST CONTROL SERVICE AGREEMENT</w:t>
      </w:r>
    </w:p>
    <w:p>
      <w:pPr>
        <w:spacing w:after="80"/>
      </w:pPr>
      <w:r>
        <w:rPr>
          <w:color w:val="555555"/>
          <w:sz w:val="22"/>
        </w:rPr>
        <w:t>Effective date: [Effective Date]</w:t>
      </w:r>
    </w:p>
    <w:p>
      <w:pPr>
        <w:spacing w:before="40"/>
      </w:pPr>
      <w:r>
        <w:rPr>
          <w:i/>
          <w:color w:val="555555"/>
          <w:sz w:val="18"/>
        </w:rPr>
        <w:t>This template is a starting point and is not legal advice; have it reviewed for your jurisdiction.</w:t>
      </w:r>
    </w:p>
    <w:p>
      <w:pPr>
        <w:spacing w:before="200" w:after="40"/>
      </w:pPr>
      <w:r>
        <w:rPr>
          <w:b/>
          <w:color w:val="222222"/>
          <w:sz w:val="22"/>
        </w:rPr>
        <w:t>1. Parties</w:t>
      </w:r>
    </w:p>
    <w:p>
      <w:pPr>
        <w:spacing w:after="40"/>
      </w:pPr>
      <w:r>
        <w:rPr>
          <w:i w:val="0"/>
          <w:sz w:val="21"/>
        </w:rPr>
        <w:t>This Pest Control Service Agreement is entered into between the pest-control business and the customer identified below.</w:t>
      </w:r>
    </w:p>
    <w:p>
      <w:pPr>
        <w:spacing w:after="20"/>
      </w:pPr>
      <w:r>
        <w:rPr>
          <w:b/>
        </w:rPr>
        <w:t xml:space="preserve">Pest-control business (legal name): </w:t>
      </w:r>
      <w:r>
        <w:t>[Business Name]</w:t>
      </w:r>
    </w:p>
    <w:p>
      <w:pPr>
        <w:spacing w:after="20"/>
      </w:pPr>
      <w:r>
        <w:rPr>
          <w:b/>
        </w:rPr>
        <w:t xml:space="preserve">Business address: </w:t>
      </w:r>
      <w:r>
        <w:t>[Business Address]</w:t>
      </w:r>
    </w:p>
    <w:p>
      <w:pPr>
        <w:spacing w:after="20"/>
      </w:pPr>
      <w:r>
        <w:rPr>
          <w:b/>
        </w:rPr>
        <w:t xml:space="preserve">Business phone / email: </w:t>
      </w:r>
      <w:r>
        <w:t>[Phone] / [Email]</w:t>
      </w:r>
    </w:p>
    <w:p>
      <w:pPr>
        <w:spacing w:after="20"/>
      </w:pPr>
      <w:r>
        <w:rPr>
          <w:b/>
        </w:rPr>
        <w:t xml:space="preserve">Applicator license / cert reference: </w:t>
      </w:r>
      <w:r>
        <w:t>[Applicator License #]</w:t>
      </w:r>
    </w:p>
    <w:p>
      <w:pPr>
        <w:spacing w:after="20"/>
      </w:pPr>
      <w:r>
        <w:rPr>
          <w:b/>
        </w:rPr>
        <w:t xml:space="preserve">Customer name: </w:t>
      </w:r>
      <w:r>
        <w:t>[Customer Name]</w:t>
      </w:r>
    </w:p>
    <w:p>
      <w:pPr>
        <w:spacing w:after="20"/>
      </w:pPr>
      <w:r>
        <w:rPr>
          <w:b/>
        </w:rPr>
        <w:t xml:space="preserve">Customer address: </w:t>
      </w:r>
      <w:r>
        <w:t>[Customer Address]</w:t>
      </w:r>
    </w:p>
    <w:p>
      <w:pPr>
        <w:spacing w:after="20"/>
      </w:pPr>
      <w:r>
        <w:rPr>
          <w:b/>
        </w:rPr>
        <w:t xml:space="preserve">Customer phone / email: </w:t>
      </w:r>
      <w:r>
        <w:t>[Customer Phone] / [Customer Email]</w:t>
      </w:r>
    </w:p>
    <w:p>
      <w:pPr>
        <w:spacing w:before="200" w:after="40"/>
      </w:pPr>
      <w:r>
        <w:rPr>
          <w:b/>
          <w:color w:val="222222"/>
          <w:sz w:val="22"/>
        </w:rPr>
        <w:t>2. Property / Premises</w:t>
      </w:r>
    </w:p>
    <w:p>
      <w:pPr>
        <w:spacing w:after="20"/>
      </w:pPr>
      <w:r>
        <w:rPr>
          <w:b/>
        </w:rPr>
        <w:t xml:space="preserve">Service address: </w:t>
      </w:r>
      <w:r>
        <w:t>[Service Address]</w:t>
      </w:r>
    </w:p>
    <w:p>
      <w:pPr>
        <w:spacing w:after="20"/>
      </w:pPr>
      <w:r>
        <w:rPr>
          <w:b/>
        </w:rPr>
        <w:t xml:space="preserve">Premises coverage: </w:t>
      </w:r>
      <w:r>
        <w:t>[Interior / Exterior / Both]</w:t>
      </w:r>
    </w:p>
    <w:p>
      <w:pPr>
        <w:spacing w:after="40"/>
      </w:pPr>
      <w:r>
        <w:rPr>
          <w:i w:val="0"/>
          <w:sz w:val="21"/>
        </w:rPr>
        <w:t>The customer warrants that they own the property or have the authority to permit treatment of the premises identified above, including the interior and/or exterior areas indicated.</w:t>
      </w:r>
    </w:p>
    <w:p>
      <w:pPr>
        <w:spacing w:before="200" w:after="40"/>
      </w:pPr>
      <w:r>
        <w:rPr>
          <w:b/>
          <w:color w:val="222222"/>
          <w:sz w:val="22"/>
        </w:rPr>
        <w:t>3. Scope of Work</w:t>
      </w:r>
    </w:p>
    <w:p>
      <w:pPr>
        <w:spacing w:after="20"/>
      </w:pPr>
      <w:r>
        <w:rPr>
          <w:b/>
        </w:rPr>
        <w:t xml:space="preserve">Target pests: </w:t>
      </w:r>
      <w:r>
        <w:t>[Target pests]</w:t>
      </w:r>
    </w:p>
    <w:p>
      <w:pPr>
        <w:spacing w:after="20"/>
      </w:pPr>
      <w:r>
        <w:rPr>
          <w:b/>
        </w:rPr>
        <w:t xml:space="preserve">Treatment areas: </w:t>
      </w:r>
      <w:r>
        <w:t>[Treatment areas]</w:t>
      </w:r>
    </w:p>
    <w:p>
      <w:pPr>
        <w:spacing w:after="40"/>
      </w:pPr>
      <w:r>
        <w:rPr>
          <w:i w:val="0"/>
          <w:sz w:val="21"/>
        </w:rPr>
        <w:t>Exclusions / extra charge: termites and other wood-destroying organisms (WDO) and bed bugs are typically excluded from a general pest plan and are an extra charge; wildlife is typically excluded.</w:t>
      </w:r>
    </w:p>
    <w:p>
      <w:pPr>
        <w:spacing w:after="20"/>
      </w:pPr>
      <w:r>
        <w:rPr>
          <w:b/>
        </w:rPr>
        <w:t xml:space="preserve">Additional exclusions: </w:t>
      </w:r>
      <w:r>
        <w:t>[Additional exclusions]</w:t>
      </w:r>
    </w:p>
    <w:p>
      <w:pPr>
        <w:spacing w:before="200" w:after="40"/>
      </w:pPr>
      <w:r>
        <w:rPr>
          <w:b/>
          <w:color w:val="222222"/>
          <w:sz w:val="22"/>
        </w:rPr>
        <w:t>4. Materials &amp; Methods Used</w:t>
      </w:r>
    </w:p>
    <w:p>
      <w:pPr>
        <w:spacing w:after="20"/>
      </w:pPr>
      <w:r>
        <w:rPr>
          <w:b/>
        </w:rPr>
        <w:t xml:space="preserve">Products / methods used: </w:t>
      </w:r>
      <w:r>
        <w:t>[Products / methods — e.g. liquid perimeter spray, bait stations, granular]</w:t>
      </w:r>
    </w:p>
    <w:p>
      <w:pPr>
        <w:spacing w:after="40"/>
      </w:pPr>
      <w:r>
        <w:rPr>
          <w:i w:val="0"/>
          <w:sz w:val="21"/>
        </w:rPr>
        <w:t>Any pesticide products applied are EPA-registered products applied per their label directions.</w:t>
      </w:r>
    </w:p>
    <w:p>
      <w:pPr>
        <w:spacing w:before="40"/>
      </w:pPr>
      <w:r>
        <w:rPr>
          <w:i/>
          <w:color w:val="555555"/>
          <w:sz w:val="17"/>
        </w:rPr>
        <w:t>This clause documents the products and methods agreed to. It is not a regulatory or EPA-compliance record.</w:t>
      </w:r>
    </w:p>
    <w:p>
      <w:pPr>
        <w:spacing w:before="200" w:after="40"/>
      </w:pPr>
      <w:r>
        <w:rPr>
          <w:b/>
          <w:color w:val="222222"/>
          <w:sz w:val="22"/>
        </w:rPr>
        <w:t>5. Service Frequency &amp; Term</w:t>
      </w:r>
    </w:p>
    <w:p>
      <w:pPr>
        <w:spacing w:after="20"/>
      </w:pPr>
      <w:r>
        <w:rPr>
          <w:b/>
        </w:rPr>
        <w:t xml:space="preserve">Service frequency: </w:t>
      </w:r>
      <w:r>
        <w:t>[One-time / Monthly / Bi-monthly / Quarterly]</w:t>
      </w:r>
    </w:p>
    <w:p>
      <w:pPr>
        <w:spacing w:after="20"/>
      </w:pPr>
      <w:r>
        <w:rPr>
          <w:b/>
        </w:rPr>
        <w:t xml:space="preserve">Number of visits: </w:t>
      </w:r>
      <w:r>
        <w:t>[# of visits]</w:t>
      </w:r>
    </w:p>
    <w:p>
      <w:pPr>
        <w:spacing w:after="20"/>
      </w:pPr>
      <w:r>
        <w:rPr>
          <w:b/>
        </w:rPr>
        <w:t xml:space="preserve">Effective date: </w:t>
      </w:r>
      <w:r>
        <w:t>[Effective Date]</w:t>
      </w:r>
    </w:p>
    <w:p>
      <w:pPr>
        <w:spacing w:after="20"/>
      </w:pPr>
      <w:r>
        <w:rPr>
          <w:b/>
        </w:rPr>
        <w:t xml:space="preserve">Term end date: </w:t>
      </w:r>
      <w:r>
        <w:t>[Term End Date]</w:t>
      </w:r>
    </w:p>
    <w:p>
      <w:pPr>
        <w:spacing w:after="40"/>
      </w:pPr>
      <w:r>
        <w:rPr>
          <w:i w:val="0"/>
          <w:sz w:val="21"/>
        </w:rPr>
        <w:t>This agreement does not automatically renew. Any continuation of service after the term end date must be agreed to in writing by both parties.</w:t>
      </w:r>
    </w:p>
    <w:p>
      <w:pPr>
        <w:spacing w:before="200" w:after="40"/>
      </w:pPr>
      <w:r>
        <w:rPr>
          <w:b/>
          <w:color w:val="222222"/>
          <w:sz w:val="22"/>
        </w:rPr>
        <w:t>6. Pricing &amp; Payment Terms</w:t>
      </w:r>
    </w:p>
    <w:p>
      <w:pPr>
        <w:spacing w:after="20"/>
      </w:pPr>
      <w:r>
        <w:rPr>
          <w:b/>
        </w:rPr>
        <w:t xml:space="preserve">Initial / first-visit price: </w:t>
      </w:r>
      <w:r>
        <w:t>[Initial Price]</w:t>
      </w:r>
    </w:p>
    <w:p>
      <w:pPr>
        <w:spacing w:after="20"/>
      </w:pPr>
      <w:r>
        <w:rPr>
          <w:b/>
        </w:rPr>
        <w:t xml:space="preserve">Recurring price (per visit / per plan): </w:t>
      </w:r>
      <w:r>
        <w:t>[Recurring Price]</w:t>
      </w:r>
    </w:p>
    <w:p>
      <w:pPr>
        <w:spacing w:after="20"/>
      </w:pPr>
      <w:r>
        <w:rPr>
          <w:b/>
        </w:rPr>
        <w:t xml:space="preserve">Invoicing cadence: </w:t>
      </w:r>
      <w:r>
        <w:t>[Invoicing: per visit]</w:t>
      </w:r>
    </w:p>
    <w:p>
      <w:pPr>
        <w:spacing w:after="20"/>
      </w:pPr>
      <w:r>
        <w:rPr>
          <w:b/>
        </w:rPr>
        <w:t xml:space="preserve">Accepted payment methods: </w:t>
      </w:r>
      <w:r>
        <w:t>Check, card, ACH</w:t>
      </w:r>
    </w:p>
    <w:p>
      <w:pPr>
        <w:spacing w:after="20"/>
      </w:pPr>
      <w:r>
        <w:rPr>
          <w:b/>
        </w:rPr>
        <w:t xml:space="preserve">Payment due: </w:t>
      </w:r>
      <w:r>
        <w:t>[15] days from invoice (net 15)</w:t>
      </w:r>
    </w:p>
    <w:p>
      <w:pPr>
        <w:spacing w:after="20"/>
      </w:pPr>
      <w:r>
        <w:rPr>
          <w:b/>
        </w:rPr>
        <w:t xml:space="preserve">Late fee: </w:t>
      </w:r>
      <w:r>
        <w:t>[Late fee: __%/mo]</w:t>
      </w:r>
    </w:p>
    <w:p>
      <w:pPr>
        <w:spacing w:before="40"/>
      </w:pPr>
      <w:r>
        <w:rPr>
          <w:i/>
          <w:color w:val="555555"/>
          <w:sz w:val="17"/>
        </w:rPr>
        <w:t>The late-fee figure is a descriptive contract term, not a computed value.</w:t>
      </w:r>
    </w:p>
    <w:p>
      <w:pPr>
        <w:spacing w:before="200" w:after="40"/>
      </w:pPr>
      <w:r>
        <w:rPr>
          <w:b/>
          <w:color w:val="222222"/>
          <w:sz w:val="22"/>
        </w:rPr>
        <w:t>7. Warranty / Guarantee &amp; Re-treatment Policy</w:t>
      </w:r>
    </w:p>
    <w:p>
      <w:pPr>
        <w:spacing w:after="20"/>
      </w:pPr>
      <w:r>
        <w:rPr>
          <w:b/>
        </w:rPr>
        <w:t xml:space="preserve">Guarantee window: </w:t>
      </w:r>
      <w:r>
        <w:t>[Guarantee window]</w:t>
      </w:r>
    </w:p>
    <w:p>
      <w:pPr>
        <w:spacing w:after="40"/>
      </w:pPr>
      <w:r>
        <w:rPr>
          <w:i w:val="0"/>
          <w:sz w:val="21"/>
        </w:rPr>
        <w:t>The business will return and re-treat at no charge if covered pests reappear between scheduled visits during the guarantee window. For a one-time treatment, the business will return and re-treat at no charge within the guarantee window if covered pests reappear after the one-time treatment.</w:t>
      </w:r>
    </w:p>
    <w:p>
      <w:pPr>
        <w:spacing w:after="40"/>
      </w:pPr>
      <w:r>
        <w:rPr>
          <w:i w:val="0"/>
          <w:sz w:val="21"/>
        </w:rPr>
        <w:t>The re-treatment guarantee does not cover excluded pests, conditions caused by the customer, or new infestations outside the agreed scope. To make a claim, the customer should contact the business during the guarantee window.</w:t>
      </w:r>
    </w:p>
    <w:p>
      <w:pPr>
        <w:spacing w:before="200" w:after="40"/>
      </w:pPr>
      <w:r>
        <w:rPr>
          <w:b/>
          <w:color w:val="222222"/>
          <w:sz w:val="22"/>
        </w:rPr>
        <w:t>8. Customer Responsibilities</w:t>
      </w:r>
    </w:p>
    <w:p>
      <w:pPr>
        <w:spacing w:after="40"/>
      </w:pPr>
      <w:r>
        <w:rPr>
          <w:i w:val="0"/>
          <w:sz w:val="21"/>
        </w:rPr>
        <w:t>Before each treatment the customer will prepare the premises: clear under sinks and in treatment areas, observe any re-entry interval stated by the applicator, secure pets and food, and provide safe access to the areas to be treated.</w:t>
      </w:r>
    </w:p>
    <w:p>
      <w:pPr>
        <w:spacing w:before="200" w:after="40"/>
      </w:pPr>
      <w:r>
        <w:rPr>
          <w:b/>
          <w:color w:val="222222"/>
          <w:sz w:val="22"/>
        </w:rPr>
        <w:t>9. Insurance</w:t>
      </w:r>
    </w:p>
    <w:p>
      <w:pPr>
        <w:spacing w:after="40"/>
      </w:pPr>
      <w:r>
        <w:rPr>
          <w:i w:val="0"/>
          <w:sz w:val="21"/>
        </w:rPr>
        <w:t>The business carries general-liability, property-damage, and workers' compensation coverage as required for its operations.</w:t>
      </w:r>
    </w:p>
    <w:p>
      <w:pPr>
        <w:spacing w:after="20"/>
      </w:pPr>
      <w:r>
        <w:rPr>
          <w:b/>
        </w:rPr>
        <w:t xml:space="preserve">Liability-insurance coverage amount: </w:t>
      </w:r>
      <w:r>
        <w:t>[Insurance coverage amount]</w:t>
      </w:r>
    </w:p>
    <w:p>
      <w:pPr>
        <w:spacing w:after="20"/>
      </w:pPr>
      <w:r>
        <w:rPr>
          <w:b/>
        </w:rPr>
        <w:t xml:space="preserve">Applicator license / certification: </w:t>
      </w:r>
      <w:r>
        <w:t>[Applicator License #]</w:t>
      </w:r>
    </w:p>
    <w:p>
      <w:pPr>
        <w:spacing w:before="200" w:after="40"/>
      </w:pPr>
      <w:r>
        <w:rPr>
          <w:b/>
          <w:color w:val="222222"/>
          <w:sz w:val="22"/>
        </w:rPr>
        <w:t>10. Liability Limitations</w:t>
      </w:r>
    </w:p>
    <w:p>
      <w:pPr>
        <w:spacing w:after="40"/>
      </w:pPr>
      <w:r>
        <w:rPr>
          <w:i w:val="0"/>
          <w:sz w:val="21"/>
        </w:rPr>
        <w:t>To the extent permitted by law, the business is not liable for indirect, incidental, or consequential damages arising from the services.</w:t>
      </w:r>
    </w:p>
    <w:p>
      <w:pPr>
        <w:spacing w:before="200" w:after="40"/>
      </w:pPr>
      <w:r>
        <w:rPr>
          <w:b/>
          <w:color w:val="222222"/>
          <w:sz w:val="22"/>
        </w:rPr>
        <w:t>11. Indemnity</w:t>
      </w:r>
    </w:p>
    <w:p>
      <w:pPr>
        <w:spacing w:after="40"/>
      </w:pPr>
      <w:r>
        <w:rPr>
          <w:i w:val="0"/>
          <w:sz w:val="21"/>
        </w:rPr>
        <w:t>Each party agrees to hold the other harmless from claims arising out of that party's own negligence or breach of this agreement.</w:t>
      </w:r>
    </w:p>
    <w:p>
      <w:pPr>
        <w:spacing w:before="200" w:after="40"/>
      </w:pPr>
      <w:r>
        <w:rPr>
          <w:b/>
          <w:color w:val="222222"/>
          <w:sz w:val="22"/>
        </w:rPr>
        <w:t>12. Termination / Cancellation</w:t>
      </w:r>
    </w:p>
    <w:p>
      <w:pPr>
        <w:spacing w:after="20"/>
      </w:pPr>
      <w:r>
        <w:rPr>
          <w:b/>
        </w:rPr>
        <w:t xml:space="preserve">Cancellation notice: </w:t>
      </w:r>
      <w:r>
        <w:t>[Cancellation notice: 30 days]</w:t>
      </w:r>
    </w:p>
    <w:p>
      <w:pPr>
        <w:spacing w:after="20"/>
      </w:pPr>
      <w:r>
        <w:rPr>
          <w:b/>
        </w:rPr>
        <w:t xml:space="preserve">Early-termination fee: </w:t>
      </w:r>
      <w:r>
        <w:t>[Early-termination fee]</w:t>
      </w:r>
    </w:p>
    <w:p>
      <w:pPr>
        <w:spacing w:after="40"/>
      </w:pPr>
      <w:r>
        <w:rPr>
          <w:i w:val="0"/>
          <w:sz w:val="21"/>
        </w:rPr>
        <w:t>Either party may cancel this agreement by giving written notice of the period stated above. If no early-termination fee is entered, no early-termination fee applies.</w:t>
      </w:r>
    </w:p>
    <w:p>
      <w:pPr>
        <w:spacing w:before="200" w:after="40"/>
      </w:pPr>
      <w:r>
        <w:rPr>
          <w:b/>
          <w:color w:val="222222"/>
          <w:sz w:val="22"/>
        </w:rPr>
        <w:t>13. Governing Law</w:t>
      </w:r>
    </w:p>
    <w:p>
      <w:pPr>
        <w:spacing w:after="20"/>
      </w:pPr>
      <w:r>
        <w:rPr>
          <w:b/>
        </w:rPr>
        <w:t xml:space="preserve">Governing-law state / jurisdiction: </w:t>
      </w:r>
      <w:r>
        <w:t>[Governing-Law State]</w:t>
      </w:r>
    </w:p>
    <w:p>
      <w:pPr>
        <w:spacing w:after="40"/>
      </w:pPr>
      <w:r>
        <w:rPr>
          <w:i w:val="0"/>
          <w:sz w:val="21"/>
        </w:rPr>
        <w:t>This agreement is governed by the laws of the state / jurisdiction stated above.</w:t>
      </w:r>
    </w:p>
    <w:p>
      <w:pPr>
        <w:spacing w:before="200" w:after="40"/>
      </w:pPr>
      <w:r>
        <w:rPr>
          <w:b/>
          <w:color w:val="222222"/>
          <w:sz w:val="22"/>
        </w:rPr>
        <w:t>14. General Terms &amp; Conditions</w:t>
      </w:r>
    </w:p>
    <w:p>
      <w:pPr>
        <w:spacing w:after="40"/>
      </w:pPr>
      <w:r>
        <w:rPr>
          <w:i w:val="0"/>
          <w:sz w:val="21"/>
        </w:rPr>
        <w:t>Amendments to this agreement must be made in writing and signed by both parties. Neither party may assign this agreement without the other's written consent. If any provision is held invalid, the remaining provisions stay in effect. This agreement is the entire agreement between the parties regarding its subject matter.</w:t>
      </w:r>
    </w:p>
    <w:p>
      <w:r>
        <w:br w:type="page"/>
      </w:r>
    </w:p>
    <w:p>
      <w:pPr>
        <w:spacing w:before="200" w:after="40"/>
      </w:pPr>
      <w:r>
        <w:rPr>
          <w:b/>
          <w:color w:val="222222"/>
          <w:sz w:val="22"/>
        </w:rPr>
        <w:t>15. Signatures &amp; Date</w:t>
      </w:r>
    </w:p>
    <w:p>
      <w:pPr>
        <w:spacing w:after="40"/>
      </w:pPr>
      <w:r>
        <w:rPr>
          <w:i w:val="0"/>
          <w:sz w:val="21"/>
        </w:rPr>
        <w:t>By signing below, both parties agree to the terms of this Pest Control Service Agreement.</w:t>
      </w:r>
    </w:p>
    <w:p>
      <w:pPr>
        <w:spacing w:before="40"/>
      </w:pPr>
      <w:r>
        <w:rPr>
          <w:i/>
          <w:color w:val="555555"/>
          <w:sz w:val="18"/>
        </w:rPr>
        <w:t>This template is a starting point and is not legal advice; have it reviewed for your jurisdiction.</w:t>
      </w:r>
    </w:p>
    <w:tbl>
      <w:tblPr>
        <w:tblW w:type="auto" w:w="0"/>
        <w:tblLook w:firstColumn="1" w:firstRow="1" w:lastColumn="0" w:lastRow="0" w:noHBand="0" w:noVBand="1" w:val="04A0"/>
      </w:tblPr>
      <w:tblGrid>
        <w:gridCol w:w="5040"/>
        <w:gridCol w:w="5040"/>
      </w:tblGrid>
      <w:tr>
        <w:tc>
          <w:tcPr>
            <w:tcW w:type="dxa" w:w="5040"/>
          </w:tcPr>
          <w:p>
            <w:r>
              <w:t>________________________________</w:t>
              <w:br/>
            </w:r>
            <w:r>
              <w:rPr>
                <w:color w:val="555555"/>
                <w:sz w:val="17"/>
              </w:rPr>
              <w:t>Pest-control business signature</w:t>
            </w:r>
          </w:p>
          <w:p>
            <w:r>
              <w:rPr>
                <w:color w:val="555555"/>
                <w:sz w:val="17"/>
              </w:rPr>
              <w:t>Printed name: ____________________</w:t>
            </w:r>
          </w:p>
          <w:p>
            <w:r>
              <w:rPr>
                <w:color w:val="555555"/>
                <w:sz w:val="17"/>
              </w:rPr>
              <w:t>Date: ____________________</w:t>
            </w:r>
          </w:p>
        </w:tc>
        <w:tc>
          <w:tcPr>
            <w:tcW w:type="dxa" w:w="5040"/>
          </w:tcPr>
          <w:p>
            <w:r>
              <w:t>________________________________</w:t>
              <w:br/>
            </w:r>
            <w:r>
              <w:rPr>
                <w:color w:val="555555"/>
                <w:sz w:val="17"/>
              </w:rPr>
              <w:t>Customer signature</w:t>
            </w:r>
          </w:p>
          <w:p>
            <w:r>
              <w:rPr>
                <w:color w:val="555555"/>
                <w:sz w:val="17"/>
              </w:rPr>
              <w:t>Printed name: ____________________</w:t>
            </w:r>
          </w:p>
          <w:p>
            <w:r>
              <w:rPr>
                <w:color w:val="555555"/>
                <w:sz w:val="17"/>
              </w:rPr>
              <w:t>Date: ____________________</w:t>
            </w:r>
          </w:p>
        </w:tc>
      </w:tr>
      <w:tr>
        <w:tc>
          <w:tcPr>
            <w:tcW w:type="dxa" w:w="5040"/>
          </w:tcPr>
          <w:p>
            <w:r/>
          </w:p>
        </w:tc>
        <w:tc>
          <w:tcPr>
            <w:tcW w:type="dxa" w:w="5040"/>
          </w:tcPr>
          <w:p>
            <w:r/>
          </w:p>
        </w:tc>
      </w:tr>
    </w:tbl>
    <w:sectPr w:rsidR="00FC693F" w:rsidRPr="0006063C" w:rsidSect="00034616">
      <w:footerReference w:type="default" r:id="rId9"/>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i/>
        <w:color w:val="555555"/>
        <w:sz w:val="15"/>
      </w:rPr>
      <w:t>Starting point, not legal advice — have it reviewed for your jurisdiction. The materials/methods clause records what was agreed; it makes no EPA or compliance claim.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